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82.0" w:type="dxa"/>
        <w:jc w:val="left"/>
        <w:tblInd w:w="0.0" w:type="dxa"/>
        <w:tblBorders>
          <w:top w:color="aebad5" w:space="0" w:sz="8" w:val="single"/>
          <w:left w:color="aebad5" w:space="0" w:sz="8" w:val="single"/>
          <w:bottom w:color="aebad5" w:space="0" w:sz="8" w:val="single"/>
          <w:right w:color="aebad5" w:space="0" w:sz="8" w:val="single"/>
          <w:insideH w:color="aebad5" w:space="0" w:sz="8" w:val="single"/>
          <w:insideV w:color="aebad5" w:space="0" w:sz="8" w:val="single"/>
        </w:tblBorders>
        <w:tblLayout w:type="fixed"/>
        <w:tblLook w:val="0400"/>
      </w:tblPr>
      <w:tblGrid>
        <w:gridCol w:w="10460"/>
        <w:gridCol w:w="222"/>
        <w:tblGridChange w:id="0">
          <w:tblGrid>
            <w:gridCol w:w="10460"/>
            <w:gridCol w:w="222"/>
          </w:tblGrid>
        </w:tblGridChange>
      </w:tblGrid>
      <w:tr>
        <w:trPr>
          <w:trHeight w:val="268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770.0" w:type="dxa"/>
              <w:jc w:val="left"/>
              <w:tblBorders>
                <w:top w:color="aebad5" w:space="0" w:sz="8" w:val="single"/>
                <w:left w:color="aebad5" w:space="0" w:sz="8" w:val="single"/>
                <w:bottom w:color="aebad5" w:space="0" w:sz="8" w:val="single"/>
                <w:right w:color="aebad5" w:space="0" w:sz="8" w:val="single"/>
                <w:insideH w:color="aebad5" w:space="0" w:sz="8" w:val="single"/>
                <w:insideV w:color="aebad5" w:space="0" w:sz="8" w:val="single"/>
              </w:tblBorders>
              <w:tblLayout w:type="fixed"/>
              <w:tblLook w:val="0400"/>
            </w:tblPr>
            <w:tblGrid>
              <w:gridCol w:w="10770"/>
              <w:tblGridChange w:id="0">
                <w:tblGrid>
                  <w:gridCol w:w="10770"/>
                </w:tblGrid>
              </w:tblGridChange>
            </w:tblGrid>
            <w:tr>
              <w:tc>
                <w:tcPr>
                  <w:tcBorders>
                    <w:top w:color="aebad5" w:space="0" w:sz="8" w:val="single"/>
                    <w:left w:color="aebad5" w:space="0" w:sz="8" w:val="single"/>
                    <w:bottom w:color="aebad5" w:space="0" w:sz="8" w:val="single"/>
                    <w:right w:color="aebad5" w:space="0" w:sz="8" w:val="single"/>
                  </w:tcBorders>
                  <w:shd w:fill="ccccff" w:val="clear"/>
                </w:tcPr>
                <w:p w:rsidR="00000000" w:rsidDel="00000000" w:rsidP="00000000" w:rsidRDefault="00000000" w:rsidRPr="00000000" w14:paraId="00000003">
                  <w:pPr>
                    <w:spacing w:after="0" w:before="0" w:line="240" w:lineRule="auto"/>
                    <w:jc w:val="center"/>
                    <w:rPr>
                      <w:rFonts w:ascii="Abril Fatface" w:cs="Abril Fatface" w:eastAsia="Abril Fatface" w:hAnsi="Abril Fatface"/>
                      <w:color w:val="3b3e42"/>
                      <w:sz w:val="32"/>
                      <w:szCs w:val="32"/>
                      <w:u w:val="single"/>
                    </w:rPr>
                  </w:pPr>
                  <w:r w:rsidDel="00000000" w:rsidR="00000000" w:rsidRPr="00000000">
                    <w:rPr>
                      <w:rFonts w:ascii="Abril Fatface" w:cs="Abril Fatface" w:eastAsia="Abril Fatface" w:hAnsi="Abril Fatface"/>
                      <w:color w:val="3b3e42"/>
                      <w:sz w:val="32"/>
                      <w:szCs w:val="32"/>
                      <w:u w:val="single"/>
                      <w:rtl w:val="0"/>
                    </w:rPr>
                    <w:t xml:space="preserve">Curriculum Vitae </w:t>
                  </w:r>
                </w:p>
              </w:tc>
            </w:tr>
            <w:tr>
              <w:tc>
                <w:tcPr>
                  <w:tcBorders>
                    <w:top w:color="aebad5" w:space="0" w:sz="6" w:val="single"/>
                    <w:left w:color="aebad5" w:space="0" w:sz="8" w:val="single"/>
                    <w:bottom w:color="aebad5" w:space="0" w:sz="6" w:val="single"/>
                    <w:right w:color="aebad5" w:space="0" w:sz="8" w:val="single"/>
                  </w:tcBorders>
                </w:tcPr>
                <w:p w:rsidR="00000000" w:rsidDel="00000000" w:rsidP="00000000" w:rsidRDefault="00000000" w:rsidRPr="00000000" w14:paraId="00000004">
                  <w:pPr>
                    <w:spacing w:after="0" w:before="0" w:line="240" w:lineRule="auto"/>
                    <w:jc w:val="left"/>
                    <w:rPr>
                      <w:rFonts w:ascii="Algerian" w:cs="Algerian" w:eastAsia="Algerian" w:hAnsi="Algerian"/>
                      <w:sz w:val="28"/>
                      <w:szCs w:val="28"/>
                      <w:u w:val="single"/>
                    </w:rPr>
                  </w:pPr>
                  <w:r w:rsidDel="00000000" w:rsidR="00000000" w:rsidRPr="00000000">
                    <w:rPr>
                      <w:rFonts w:ascii="Algerian" w:cs="Algerian" w:eastAsia="Algerian" w:hAnsi="Algerian"/>
                      <w:sz w:val="28"/>
                      <w:szCs w:val="28"/>
                      <w:u w:val="single"/>
                      <w:rtl w:val="0"/>
                    </w:rPr>
                    <w:t xml:space="preserve">ABDULLAH</w:t>
                  </w:r>
                </w:p>
                <w:p w:rsidR="00000000" w:rsidDel="00000000" w:rsidP="00000000" w:rsidRDefault="00000000" w:rsidRPr="00000000" w14:paraId="00000005">
                  <w:pPr>
                    <w:spacing w:after="0" w:before="0" w:line="240" w:lineRule="auto"/>
                    <w:rPr>
                      <w:rFonts w:ascii="Century" w:cs="Century" w:eastAsia="Century" w:hAnsi="Century"/>
                      <w:color w:val="000000"/>
                      <w:sz w:val="24"/>
                      <w:szCs w:val="24"/>
                    </w:rPr>
                  </w:pPr>
                  <w:r w:rsidDel="00000000" w:rsidR="00000000" w:rsidRPr="00000000">
                    <w:rPr>
                      <w:rFonts w:ascii="Century" w:cs="Century" w:eastAsia="Century" w:hAnsi="Century"/>
                      <w:b w:val="1"/>
                      <w:color w:val="000000"/>
                      <w:sz w:val="24"/>
                      <w:szCs w:val="24"/>
                      <w:rtl w:val="0"/>
                    </w:rPr>
                    <w:t xml:space="preserve">Postal Address:</w:t>
                  </w:r>
                  <w:r w:rsidDel="00000000" w:rsidR="00000000" w:rsidRPr="00000000">
                    <w:rPr>
                      <w:rFonts w:ascii="Century" w:cs="Century" w:eastAsia="Century" w:hAnsi="Century"/>
                      <w:color w:val="000000"/>
                      <w:sz w:val="24"/>
                      <w:szCs w:val="24"/>
                      <w:rtl w:val="0"/>
                    </w:rPr>
                    <w:t xml:space="preserve">  Village Mitho Khan Mastoi U/C Mastoi Sijawal Junejo </w:t>
                  </w:r>
                </w:p>
                <w:p w:rsidR="00000000" w:rsidDel="00000000" w:rsidP="00000000" w:rsidRDefault="00000000" w:rsidRPr="00000000" w14:paraId="00000006">
                  <w:pPr>
                    <w:spacing w:after="0" w:before="0" w:line="240" w:lineRule="auto"/>
                    <w:rPr>
                      <w:rFonts w:ascii="Century" w:cs="Century" w:eastAsia="Century" w:hAnsi="Century"/>
                      <w:color w:val="000000"/>
                      <w:sz w:val="24"/>
                      <w:szCs w:val="24"/>
                    </w:rPr>
                  </w:pPr>
                  <w:r w:rsidDel="00000000" w:rsidR="00000000" w:rsidRPr="00000000">
                    <w:rPr>
                      <w:rFonts w:ascii="Century" w:cs="Century" w:eastAsia="Century" w:hAnsi="Century"/>
                      <w:color w:val="000000"/>
                      <w:sz w:val="24"/>
                      <w:szCs w:val="24"/>
                      <w:rtl w:val="0"/>
                    </w:rPr>
                    <w:t xml:space="preserve">District Kamber Shahdadkot </w:t>
                  </w:r>
                </w:p>
                <w:p w:rsidR="00000000" w:rsidDel="00000000" w:rsidP="00000000" w:rsidRDefault="00000000" w:rsidRPr="00000000" w14:paraId="00000007">
                  <w:pPr>
                    <w:spacing w:after="0" w:before="0" w:line="240" w:lineRule="auto"/>
                    <w:jc w:val="left"/>
                    <w:rPr>
                      <w:rFonts w:ascii="Century" w:cs="Century" w:eastAsia="Century" w:hAnsi="Century"/>
                      <w:color w:val="3b3e42"/>
                      <w:sz w:val="24"/>
                      <w:szCs w:val="24"/>
                    </w:rPr>
                  </w:pPr>
                  <w:r w:rsidDel="00000000" w:rsidR="00000000" w:rsidRPr="00000000">
                    <w:rPr>
                      <w:rFonts w:ascii="Century" w:cs="Century" w:eastAsia="Century" w:hAnsi="Century"/>
                      <w:b w:val="1"/>
                      <w:color w:val="3b3e42"/>
                      <w:sz w:val="24"/>
                      <w:szCs w:val="24"/>
                      <w:rtl w:val="0"/>
                    </w:rPr>
                    <w:t xml:space="preserve">Cell:   </w:t>
                  </w:r>
                  <w:r w:rsidDel="00000000" w:rsidR="00000000" w:rsidRPr="00000000">
                    <w:rPr>
                      <w:rFonts w:ascii="Century" w:cs="Century" w:eastAsia="Century" w:hAnsi="Century"/>
                      <w:color w:val="3b3e42"/>
                      <w:sz w:val="24"/>
                      <w:szCs w:val="24"/>
                      <w:rtl w:val="0"/>
                    </w:rPr>
                    <w:t xml:space="preserve">+92 3358133299</w:t>
                  </w:r>
                </w:p>
                <w:p w:rsidR="00000000" w:rsidDel="00000000" w:rsidP="00000000" w:rsidRDefault="00000000" w:rsidRPr="00000000" w14:paraId="00000008">
                  <w:pPr>
                    <w:spacing w:after="0" w:before="0" w:line="240" w:lineRule="auto"/>
                    <w:jc w:val="left"/>
                    <w:rPr>
                      <w:rFonts w:ascii="Century" w:cs="Century" w:eastAsia="Century" w:hAnsi="Century"/>
                      <w:b w:val="1"/>
                      <w:color w:val="3b3e42"/>
                      <w:sz w:val="24"/>
                      <w:szCs w:val="24"/>
                    </w:rPr>
                  </w:pPr>
                  <w:r w:rsidDel="00000000" w:rsidR="00000000" w:rsidRPr="00000000">
                    <w:rPr>
                      <w:rFonts w:ascii="Century" w:cs="Century" w:eastAsia="Century" w:hAnsi="Century"/>
                      <w:b w:val="1"/>
                      <w:color w:val="3b3e42"/>
                      <w:sz w:val="24"/>
                      <w:szCs w:val="24"/>
                      <w:rtl w:val="0"/>
                    </w:rPr>
                    <w:t xml:space="preserve">E-mail: </w:t>
                  </w:r>
                  <w:hyperlink r:id="rId6">
                    <w:r w:rsidDel="00000000" w:rsidR="00000000" w:rsidRPr="00000000">
                      <w:rPr>
                        <w:color w:val="d2611c"/>
                        <w:u w:val="single"/>
                        <w:rtl w:val="0"/>
                      </w:rPr>
                      <w:t xml:space="preserve">abdullamastoi@gmail.com</w:t>
                    </w:r>
                  </w:hyperlink>
                  <w:r w:rsidDel="00000000" w:rsidR="00000000" w:rsidRPr="00000000">
                    <w:rPr>
                      <w:color w:val="3b3e42"/>
                      <w:rtl w:val="0"/>
                    </w:rPr>
                    <w:t xml:space="preserve">  </w:t>
                  </w:r>
                  <w:r w:rsidDel="00000000" w:rsidR="00000000" w:rsidRPr="00000000">
                    <w:rPr>
                      <w:rtl w:val="0"/>
                    </w:rPr>
                  </w:r>
                </w:p>
              </w:tc>
            </w:tr>
            <w:tr>
              <w:tc>
                <w:tcPr>
                  <w:tcBorders>
                    <w:top w:color="aebad5" w:space="0" w:sz="6" w:val="single"/>
                    <w:left w:color="aebad5" w:space="0" w:sz="8" w:val="single"/>
                    <w:bottom w:color="aebad5" w:space="0" w:sz="8" w:val="single"/>
                    <w:right w:color="aebad5" w:space="0" w:sz="8" w:val="single"/>
                  </w:tcBorders>
                </w:tcPr>
                <w:p w:rsidR="00000000" w:rsidDel="00000000" w:rsidP="00000000" w:rsidRDefault="00000000" w:rsidRPr="00000000" w14:paraId="00000009">
                  <w:pPr>
                    <w:spacing w:after="0" w:before="0" w:line="240" w:lineRule="auto"/>
                    <w:jc w:val="left"/>
                    <w:rPr>
                      <w:rFonts w:ascii="Algerian" w:cs="Algerian" w:eastAsia="Algerian" w:hAnsi="Algerian"/>
                      <w:sz w:val="28"/>
                      <w:szCs w:val="28"/>
                      <w:u w:val="single"/>
                    </w:rPr>
                  </w:pPr>
                  <w:r w:rsidDel="00000000" w:rsidR="00000000" w:rsidRPr="00000000">
                    <w:rPr>
                      <w:rtl w:val="0"/>
                    </w:rPr>
                  </w:r>
                </w:p>
              </w:tc>
            </w:tr>
          </w:tbl>
          <w:p w:rsidR="00000000" w:rsidDel="00000000" w:rsidP="00000000" w:rsidRDefault="00000000" w:rsidRPr="00000000" w14:paraId="0000000A">
            <w:pPr>
              <w:spacing w:after="0" w:before="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0B">
            <w:pP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before="0" w:line="240" w:lineRule="auto"/>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3"/>
              <w:tblW w:w="10446.0" w:type="dxa"/>
              <w:jc w:val="left"/>
              <w:tblBorders>
                <w:top w:color="aebad5" w:space="0" w:sz="8" w:val="single"/>
                <w:left w:color="aebad5" w:space="0" w:sz="8" w:val="single"/>
                <w:bottom w:color="aebad5" w:space="0" w:sz="8" w:val="single"/>
                <w:right w:color="aebad5" w:space="0" w:sz="8" w:val="single"/>
                <w:insideH w:color="aebad5" w:space="0" w:sz="8" w:val="single"/>
                <w:insideV w:color="aebad5" w:space="0" w:sz="8" w:val="single"/>
              </w:tblBorders>
              <w:tblLayout w:type="fixed"/>
              <w:tblLook w:val="0400"/>
            </w:tblPr>
            <w:tblGrid>
              <w:gridCol w:w="10446"/>
              <w:tblGridChange w:id="0">
                <w:tblGrid>
                  <w:gridCol w:w="10446"/>
                </w:tblGrid>
              </w:tblGridChange>
            </w:tblGrid>
            <w:tr>
              <w:tc>
                <w:tcPr>
                  <w:tcBorders>
                    <w:top w:color="aebad5" w:space="0" w:sz="8" w:val="single"/>
                    <w:left w:color="aebad5" w:space="0" w:sz="8" w:val="single"/>
                    <w:bottom w:color="aebad5" w:space="0" w:sz="8" w:val="single"/>
                    <w:right w:color="aebad5" w:space="0" w:sz="8" w:val="single"/>
                  </w:tcBorders>
                  <w:shd w:fill="ccccff" w:val="clear"/>
                </w:tcPr>
                <w:p w:rsidR="00000000" w:rsidDel="00000000" w:rsidP="00000000" w:rsidRDefault="00000000" w:rsidRPr="00000000" w14:paraId="00000010">
                  <w:pPr>
                    <w:spacing w:after="0" w:before="0" w:line="240" w:lineRule="auto"/>
                    <w:jc w:val="center"/>
                    <w:rPr>
                      <w:b w:val="1"/>
                      <w:color w:val="3b3e42"/>
                      <w:sz w:val="24"/>
                      <w:szCs w:val="24"/>
                    </w:rPr>
                  </w:pPr>
                  <w:r w:rsidDel="00000000" w:rsidR="00000000" w:rsidRPr="00000000">
                    <w:rPr>
                      <w:b w:val="1"/>
                      <w:color w:val="3b3e42"/>
                      <w:sz w:val="24"/>
                      <w:szCs w:val="24"/>
                      <w:rtl w:val="0"/>
                    </w:rPr>
                    <w:t xml:space="preserve">Professional Profile</w:t>
                  </w:r>
                </w:p>
              </w:tc>
            </w:tr>
            <w:tr>
              <w:tc>
                <w:tcPr>
                  <w:tcBorders>
                    <w:top w:color="aebad5" w:space="0" w:sz="6" w:val="single"/>
                    <w:left w:color="aebad5" w:space="0" w:sz="8" w:val="single"/>
                    <w:bottom w:color="aebad5" w:space="0" w:sz="6" w:val="single"/>
                    <w:right w:color="aebad5" w:space="0" w:sz="8" w:val="single"/>
                  </w:tcBorders>
                </w:tcPr>
                <w:p w:rsidR="00000000" w:rsidDel="00000000" w:rsidP="00000000" w:rsidRDefault="00000000" w:rsidRPr="00000000" w14:paraId="00000011">
                  <w:pPr>
                    <w:spacing w:after="0" w:before="0" w:line="240" w:lineRule="auto"/>
                    <w:rPr>
                      <w:rFonts w:ascii="Century" w:cs="Century" w:eastAsia="Century" w:hAnsi="Century"/>
                      <w:sz w:val="24"/>
                      <w:szCs w:val="24"/>
                    </w:rPr>
                  </w:pPr>
                  <w:r w:rsidDel="00000000" w:rsidR="00000000" w:rsidRPr="00000000">
                    <w:rPr>
                      <w:rFonts w:ascii="Century" w:cs="Century" w:eastAsia="Century" w:hAnsi="Century"/>
                      <w:color w:val="000000"/>
                      <w:sz w:val="22"/>
                      <w:szCs w:val="22"/>
                      <w:rtl w:val="0"/>
                    </w:rPr>
                    <w:t xml:space="preserve">Mr. Abullah Mastoi started his career of development sector while joining one of local organization as volunteer in 2007 floods. Since then he has been working in this sector with different organizations with multiple tasks. He has sought his bechlor in Political Science from Shah Abdul Latif University Khairpur Mirs’. He possesses professional experience of working more than six years in this sector. He has worked in major humanitarian emergency of ‘super flood-2010’; since then has worked in different projects focusing on humanitarian and community development as well. </w:t>
                  </w:r>
                  <w:r w:rsidDel="00000000" w:rsidR="00000000" w:rsidRPr="00000000">
                    <w:rPr>
                      <w:rFonts w:ascii="Century" w:cs="Century" w:eastAsia="Century" w:hAnsi="Century"/>
                      <w:sz w:val="24"/>
                      <w:szCs w:val="24"/>
                      <w:rtl w:val="0"/>
                    </w:rPr>
                    <w:t xml:space="preserve">He is well versed in conducting surveys, researches, monitoring &amp; evaluations, report writing. He possesses skills of communication</w:t>
                  </w:r>
                  <w:r w:rsidDel="00000000" w:rsidR="00000000" w:rsidRPr="00000000">
                    <w:rPr>
                      <w:rtl w:val="0"/>
                    </w:rPr>
                    <w:t xml:space="preserve"> and presentation and practical knowhow of MS Windows, MS Office (Word, Excel, and PowerPoint) and Internet. </w:t>
                  </w:r>
                  <w:r w:rsidDel="00000000" w:rsidR="00000000" w:rsidRPr="00000000">
                    <w:rPr>
                      <w:rtl w:val="0"/>
                    </w:rPr>
                  </w:r>
                </w:p>
              </w:tc>
            </w:tr>
            <w:tr>
              <w:tc>
                <w:tcPr>
                  <w:tcBorders>
                    <w:top w:color="aebad5" w:space="0" w:sz="6" w:val="single"/>
                    <w:left w:color="000000" w:space="0" w:sz="0" w:val="nil"/>
                    <w:bottom w:color="aebad5" w:space="0" w:sz="8" w:val="single"/>
                    <w:right w:color="000000" w:space="0" w:sz="0" w:val="nil"/>
                  </w:tcBorders>
                </w:tcPr>
                <w:p w:rsidR="00000000" w:rsidDel="00000000" w:rsidP="00000000" w:rsidRDefault="00000000" w:rsidRPr="00000000" w14:paraId="00000012">
                  <w:pPr>
                    <w:spacing w:after="0" w:before="0" w:line="240" w:lineRule="auto"/>
                    <w:rPr>
                      <w:rFonts w:ascii="Century" w:cs="Century" w:eastAsia="Century" w:hAnsi="Century"/>
                      <w:color w:val="000000"/>
                      <w:sz w:val="22"/>
                      <w:szCs w:val="22"/>
                    </w:rPr>
                  </w:pPr>
                  <w:r w:rsidDel="00000000" w:rsidR="00000000" w:rsidRPr="00000000">
                    <w:rPr>
                      <w:rtl w:val="0"/>
                    </w:rPr>
                  </w:r>
                </w:p>
              </w:tc>
            </w:tr>
          </w:tbl>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color w:val="000000"/>
                <w:sz w:val="22"/>
                <w:szCs w:val="22"/>
              </w:rPr>
            </w:pPr>
            <w:r w:rsidDel="00000000" w:rsidR="00000000" w:rsidRPr="00000000">
              <w:rPr>
                <w:rtl w:val="0"/>
              </w:rPr>
            </w:r>
          </w:p>
          <w:tbl>
            <w:tblPr>
              <w:tblStyle w:val="Table4"/>
              <w:tblW w:w="10446.0" w:type="dxa"/>
              <w:jc w:val="left"/>
              <w:tblBorders>
                <w:top w:color="aebad5" w:space="0" w:sz="8" w:val="single"/>
                <w:left w:color="aebad5" w:space="0" w:sz="8" w:val="single"/>
                <w:bottom w:color="aebad5" w:space="0" w:sz="8" w:val="single"/>
                <w:right w:color="aebad5" w:space="0" w:sz="8" w:val="single"/>
                <w:insideH w:color="aebad5" w:space="0" w:sz="8" w:val="single"/>
                <w:insideV w:color="aebad5" w:space="0" w:sz="8" w:val="single"/>
              </w:tblBorders>
              <w:tblLayout w:type="fixed"/>
              <w:tblLook w:val="0400"/>
            </w:tblPr>
            <w:tblGrid>
              <w:gridCol w:w="10446"/>
              <w:tblGridChange w:id="0">
                <w:tblGrid>
                  <w:gridCol w:w="10446"/>
                </w:tblGrid>
              </w:tblGridChange>
            </w:tblGrid>
            <w:tr>
              <w:tc>
                <w:tcPr>
                  <w:tcBorders>
                    <w:top w:color="aebad5" w:space="0" w:sz="8" w:val="single"/>
                    <w:left w:color="aebad5" w:space="0" w:sz="8" w:val="single"/>
                    <w:bottom w:color="aebad5" w:space="0" w:sz="8" w:val="single"/>
                    <w:right w:color="aebad5" w:space="0" w:sz="8" w:val="single"/>
                  </w:tcBorders>
                  <w:shd w:fill="ccccff" w:val="clear"/>
                </w:tcPr>
                <w:p w:rsidR="00000000" w:rsidDel="00000000" w:rsidP="00000000" w:rsidRDefault="00000000" w:rsidRPr="00000000" w14:paraId="00000014">
                  <w:pPr>
                    <w:spacing w:after="0" w:before="0" w:line="240" w:lineRule="auto"/>
                    <w:jc w:val="center"/>
                    <w:rPr>
                      <w:b w:val="1"/>
                      <w:color w:val="3b3e42"/>
                      <w:sz w:val="24"/>
                      <w:szCs w:val="24"/>
                    </w:rPr>
                  </w:pPr>
                  <w:r w:rsidDel="00000000" w:rsidR="00000000" w:rsidRPr="00000000">
                    <w:rPr>
                      <w:b w:val="1"/>
                      <w:color w:val="3b3e42"/>
                      <w:sz w:val="24"/>
                      <w:szCs w:val="24"/>
                      <w:rtl w:val="0"/>
                    </w:rPr>
                    <w:t xml:space="preserve">Education</w:t>
                  </w:r>
                </w:p>
              </w:tc>
            </w:tr>
            <w:tr>
              <w:tc>
                <w:tcPr>
                  <w:tcBorders>
                    <w:top w:color="aebad5" w:space="0" w:sz="6" w:val="single"/>
                    <w:left w:color="aebad5" w:space="0" w:sz="8" w:val="single"/>
                    <w:bottom w:color="aebad5" w:space="0" w:sz="8" w:val="single"/>
                    <w:right w:color="aebad5" w:space="0" w:sz="8" w:val="single"/>
                  </w:tcBorders>
                </w:tcPr>
                <w:p w:rsidR="00000000" w:rsidDel="00000000" w:rsidP="00000000" w:rsidRDefault="00000000" w:rsidRPr="00000000" w14:paraId="00000015">
                  <w:pPr>
                    <w:numPr>
                      <w:ilvl w:val="0"/>
                      <w:numId w:val="2"/>
                    </w:numPr>
                    <w:tabs>
                      <w:tab w:val="left" w:pos="284"/>
                      <w:tab w:val="left" w:pos="2552"/>
                      <w:tab w:val="left" w:pos="3544"/>
                    </w:tabs>
                    <w:spacing w:after="0" w:before="0" w:line="240" w:lineRule="auto"/>
                    <w:ind w:left="284" w:hanging="284"/>
                    <w:rPr>
                      <w:rFonts w:ascii="Century" w:cs="Century" w:eastAsia="Century" w:hAnsi="Century"/>
                      <w:color w:val="000000"/>
                      <w:sz w:val="22"/>
                      <w:szCs w:val="22"/>
                    </w:rPr>
                  </w:pPr>
                  <w:r w:rsidDel="00000000" w:rsidR="00000000" w:rsidRPr="00000000">
                    <w:rPr>
                      <w:rFonts w:ascii="Century" w:cs="Century" w:eastAsia="Century" w:hAnsi="Century"/>
                      <w:color w:val="000000"/>
                      <w:sz w:val="22"/>
                      <w:szCs w:val="22"/>
                      <w:rtl w:val="0"/>
                    </w:rPr>
                    <w:t xml:space="preserve">M.A  : </w:t>
                    <w:tab/>
                    <w:tab/>
                    <w:t xml:space="preserve">Shah Abdul Latif University Khairpur Mir’s Sindh</w:t>
                  </w:r>
                </w:p>
                <w:p w:rsidR="00000000" w:rsidDel="00000000" w:rsidP="00000000" w:rsidRDefault="00000000" w:rsidRPr="00000000" w14:paraId="00000016">
                  <w:pPr>
                    <w:numPr>
                      <w:ilvl w:val="0"/>
                      <w:numId w:val="2"/>
                    </w:numPr>
                    <w:tabs>
                      <w:tab w:val="left" w:pos="284"/>
                      <w:tab w:val="left" w:pos="2552"/>
                      <w:tab w:val="left" w:pos="3544"/>
                    </w:tabs>
                    <w:spacing w:after="0" w:before="0" w:line="240" w:lineRule="auto"/>
                    <w:ind w:left="284" w:hanging="284"/>
                    <w:rPr>
                      <w:rFonts w:ascii="Century" w:cs="Century" w:eastAsia="Century" w:hAnsi="Century"/>
                      <w:color w:val="000000"/>
                      <w:sz w:val="22"/>
                      <w:szCs w:val="22"/>
                    </w:rPr>
                  </w:pPr>
                  <w:r w:rsidDel="00000000" w:rsidR="00000000" w:rsidRPr="00000000">
                    <w:rPr>
                      <w:rFonts w:ascii="Century" w:cs="Century" w:eastAsia="Century" w:hAnsi="Century"/>
                      <w:color w:val="000000"/>
                      <w:sz w:val="22"/>
                      <w:szCs w:val="22"/>
                      <w:rtl w:val="0"/>
                    </w:rPr>
                    <w:t xml:space="preserve">DIT                                               Mono Technical College  Ratodero.   </w:t>
                  </w:r>
                </w:p>
              </w:tc>
            </w:tr>
            <w:tr>
              <w:tc>
                <w:tcPr>
                  <w:tcBorders>
                    <w:top w:color="aebad5" w:space="0" w:sz="6" w:val="single"/>
                    <w:left w:color="000000" w:space="0" w:sz="0" w:val="nil"/>
                    <w:bottom w:color="aebad5" w:space="0" w:sz="8" w:val="single"/>
                    <w:right w:color="000000" w:space="0" w:sz="0" w:val="nil"/>
                  </w:tcBorders>
                </w:tcPr>
                <w:p w:rsidR="00000000" w:rsidDel="00000000" w:rsidP="00000000" w:rsidRDefault="00000000" w:rsidRPr="00000000" w14:paraId="00000017">
                  <w:pPr>
                    <w:tabs>
                      <w:tab w:val="left" w:pos="284"/>
                      <w:tab w:val="left" w:pos="2552"/>
                      <w:tab w:val="left" w:pos="3544"/>
                    </w:tabs>
                    <w:spacing w:after="0" w:before="0" w:line="240" w:lineRule="auto"/>
                    <w:ind w:left="284" w:firstLine="0"/>
                    <w:rPr>
                      <w:rFonts w:ascii="Century" w:cs="Century" w:eastAsia="Century" w:hAnsi="Century"/>
                      <w:color w:val="000000"/>
                      <w:sz w:val="22"/>
                      <w:szCs w:val="22"/>
                    </w:rPr>
                  </w:pPr>
                  <w:r w:rsidDel="00000000" w:rsidR="00000000" w:rsidRPr="00000000">
                    <w:rPr>
                      <w:rtl w:val="0"/>
                    </w:rPr>
                  </w:r>
                </w:p>
              </w:tc>
            </w:tr>
          </w:tbl>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color w:val="000000"/>
                <w:sz w:val="22"/>
                <w:szCs w:val="22"/>
              </w:rPr>
            </w:pPr>
            <w:r w:rsidDel="00000000" w:rsidR="00000000" w:rsidRPr="00000000">
              <w:rPr>
                <w:rtl w:val="0"/>
              </w:rPr>
            </w:r>
          </w:p>
          <w:tbl>
            <w:tblPr>
              <w:tblStyle w:val="Table5"/>
              <w:tblW w:w="10446.0" w:type="dxa"/>
              <w:jc w:val="left"/>
              <w:tblBorders>
                <w:top w:color="aebad5" w:space="0" w:sz="8" w:val="single"/>
                <w:left w:color="aebad5" w:space="0" w:sz="8" w:val="single"/>
                <w:bottom w:color="aebad5" w:space="0" w:sz="8" w:val="single"/>
                <w:right w:color="aebad5" w:space="0" w:sz="8" w:val="single"/>
                <w:insideH w:color="aebad5" w:space="0" w:sz="8" w:val="single"/>
                <w:insideV w:color="aebad5" w:space="0" w:sz="8" w:val="single"/>
              </w:tblBorders>
              <w:tblLayout w:type="fixed"/>
              <w:tblLook w:val="0400"/>
            </w:tblPr>
            <w:tblGrid>
              <w:gridCol w:w="10446"/>
              <w:tblGridChange w:id="0">
                <w:tblGrid>
                  <w:gridCol w:w="10446"/>
                </w:tblGrid>
              </w:tblGridChange>
            </w:tblGrid>
            <w:tr>
              <w:tc>
                <w:tcPr>
                  <w:tcBorders>
                    <w:top w:color="aebad5" w:space="0" w:sz="8" w:val="single"/>
                    <w:left w:color="aebad5" w:space="0" w:sz="8" w:val="single"/>
                    <w:bottom w:color="aebad5" w:space="0" w:sz="8" w:val="single"/>
                    <w:right w:color="aebad5" w:space="0" w:sz="8" w:val="single"/>
                  </w:tcBorders>
                  <w:shd w:fill="ccccff" w:val="clear"/>
                </w:tcPr>
                <w:p w:rsidR="00000000" w:rsidDel="00000000" w:rsidP="00000000" w:rsidRDefault="00000000" w:rsidRPr="00000000" w14:paraId="00000019">
                  <w:pPr>
                    <w:spacing w:after="0" w:before="0" w:line="240" w:lineRule="auto"/>
                    <w:jc w:val="center"/>
                    <w:rPr>
                      <w:b w:val="1"/>
                      <w:color w:val="3b3e42"/>
                      <w:sz w:val="24"/>
                      <w:szCs w:val="24"/>
                    </w:rPr>
                  </w:pPr>
                  <w:r w:rsidDel="00000000" w:rsidR="00000000" w:rsidRPr="00000000">
                    <w:rPr>
                      <w:b w:val="1"/>
                      <w:color w:val="3b3e42"/>
                      <w:sz w:val="24"/>
                      <w:szCs w:val="24"/>
                      <w:rtl w:val="0"/>
                    </w:rPr>
                    <w:t xml:space="preserve">Objective </w:t>
                  </w:r>
                </w:p>
              </w:tc>
            </w:tr>
            <w:tr>
              <w:tc>
                <w:tcPr>
                  <w:tcBorders>
                    <w:top w:color="aebad5" w:space="0" w:sz="6" w:val="single"/>
                    <w:left w:color="aebad5" w:space="0" w:sz="8" w:val="single"/>
                    <w:bottom w:color="aebad5" w:space="0" w:sz="6" w:val="single"/>
                    <w:right w:color="aebad5" w:space="0" w:sz="8" w:val="single"/>
                  </w:tcBorders>
                </w:tcPr>
                <w:p w:rsidR="00000000" w:rsidDel="00000000" w:rsidP="00000000" w:rsidRDefault="00000000" w:rsidRPr="00000000" w14:paraId="0000001A">
                  <w:pPr>
                    <w:spacing w:after="0" w:before="0" w:line="240" w:lineRule="auto"/>
                    <w:rPr>
                      <w:rFonts w:ascii="Century" w:cs="Century" w:eastAsia="Century" w:hAnsi="Century"/>
                      <w:sz w:val="22"/>
                      <w:szCs w:val="22"/>
                    </w:rPr>
                  </w:pPr>
                  <w:r w:rsidDel="00000000" w:rsidR="00000000" w:rsidRPr="00000000">
                    <w:rPr>
                      <w:rFonts w:ascii="Century" w:cs="Century" w:eastAsia="Century" w:hAnsi="Century"/>
                      <w:sz w:val="22"/>
                      <w:szCs w:val="22"/>
                      <w:rtl w:val="0"/>
                    </w:rPr>
                    <w:t xml:space="preserve">To gain the proper knowledge, new approaches, related paradigm-shifts and practical experience as well as expertise in development sector and related components such as livelihoods, disaster risk reduction/management in the context of climate change.</w:t>
                  </w:r>
                </w:p>
              </w:tc>
            </w:tr>
          </w:tbl>
          <w:p w:rsidR="00000000" w:rsidDel="00000000" w:rsidP="00000000" w:rsidRDefault="00000000" w:rsidRPr="00000000" w14:paraId="0000001B">
            <w:pPr>
              <w:spacing w:after="0" w:before="0" w:line="240" w:lineRule="auto"/>
              <w:rPr>
                <w:rFonts w:ascii="Arial" w:cs="Arial" w:eastAsia="Arial" w:hAnsi="Arial"/>
                <w:sz w:val="2"/>
                <w:szCs w:val="2"/>
              </w:rPr>
            </w:pPr>
            <w:r w:rsidDel="00000000" w:rsidR="00000000" w:rsidRPr="00000000">
              <w:rPr>
                <w:rtl w:val="0"/>
              </w:rPr>
            </w:r>
          </w:p>
        </w:tc>
      </w:tr>
      <w:tr>
        <w:tc>
          <w:tcPr>
            <w:gridSpan w:val="2"/>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
                <w:szCs w:val="2"/>
              </w:rPr>
            </w:pPr>
            <w:r w:rsidDel="00000000" w:rsidR="00000000" w:rsidRPr="00000000">
              <w:rPr>
                <w:rtl w:val="0"/>
              </w:rPr>
            </w:r>
          </w:p>
          <w:tbl>
            <w:tblPr>
              <w:tblStyle w:val="Table6"/>
              <w:tblW w:w="10446.0" w:type="dxa"/>
              <w:jc w:val="left"/>
              <w:tblBorders>
                <w:top w:color="aebad5" w:space="0" w:sz="8" w:val="single"/>
                <w:left w:color="aebad5" w:space="0" w:sz="8" w:val="single"/>
                <w:bottom w:color="aebad5" w:space="0" w:sz="8" w:val="single"/>
                <w:right w:color="aebad5" w:space="0" w:sz="8" w:val="single"/>
                <w:insideH w:color="aebad5" w:space="0" w:sz="8" w:val="single"/>
                <w:insideV w:color="aebad5" w:space="0" w:sz="8" w:val="single"/>
              </w:tblBorders>
              <w:tblLayout w:type="fixed"/>
              <w:tblLook w:val="0400"/>
            </w:tblPr>
            <w:tblGrid>
              <w:gridCol w:w="10446"/>
              <w:tblGridChange w:id="0">
                <w:tblGrid>
                  <w:gridCol w:w="10446"/>
                </w:tblGrid>
              </w:tblGridChange>
            </w:tblGrid>
            <w:tr>
              <w:tc>
                <w:tcPr>
                  <w:tcBorders>
                    <w:top w:color="aebad5" w:space="0" w:sz="8" w:val="single"/>
                    <w:left w:color="aebad5" w:space="0" w:sz="8" w:val="single"/>
                    <w:bottom w:color="aebad5" w:space="0" w:sz="8" w:val="single"/>
                    <w:right w:color="aebad5" w:space="0" w:sz="8" w:val="single"/>
                  </w:tcBorders>
                  <w:shd w:fill="ccccff" w:val="clear"/>
                </w:tcPr>
                <w:p w:rsidR="00000000" w:rsidDel="00000000" w:rsidP="00000000" w:rsidRDefault="00000000" w:rsidRPr="00000000" w14:paraId="0000001E">
                  <w:pPr>
                    <w:spacing w:after="0" w:before="0" w:line="240" w:lineRule="auto"/>
                    <w:jc w:val="center"/>
                    <w:rPr>
                      <w:b w:val="1"/>
                      <w:color w:val="3b3e42"/>
                      <w:sz w:val="24"/>
                      <w:szCs w:val="24"/>
                    </w:rPr>
                  </w:pPr>
                  <w:r w:rsidDel="00000000" w:rsidR="00000000" w:rsidRPr="00000000">
                    <w:rPr>
                      <w:b w:val="1"/>
                      <w:color w:val="3b3e42"/>
                      <w:sz w:val="24"/>
                      <w:szCs w:val="24"/>
                      <w:rtl w:val="0"/>
                    </w:rPr>
                    <w:t xml:space="preserve">Work Experience</w:t>
                  </w:r>
                </w:p>
              </w:tc>
            </w:tr>
            <w:tr>
              <w:tc>
                <w:tcPr>
                  <w:tcBorders>
                    <w:top w:color="aebad5" w:space="0" w:sz="6" w:val="single"/>
                    <w:left w:color="aebad5" w:space="0" w:sz="8" w:val="single"/>
                    <w:bottom w:color="aebad5" w:space="0" w:sz="8" w:val="single"/>
                    <w:right w:color="aebad5" w:space="0" w:sz="8" w:val="single"/>
                  </w:tcBorders>
                </w:tcPr>
                <w:p w:rsidR="00000000" w:rsidDel="00000000" w:rsidP="00000000" w:rsidRDefault="00000000" w:rsidRPr="00000000" w14:paraId="0000001F">
                  <w:pPr>
                    <w:spacing w:after="0" w:before="0" w:line="240" w:lineRule="auto"/>
                    <w:rPr>
                      <w:rFonts w:ascii="Century" w:cs="Century" w:eastAsia="Century" w:hAnsi="Century"/>
                      <w:b w:val="1"/>
                      <w:sz w:val="22"/>
                      <w:szCs w:val="22"/>
                      <w:u w:val="single"/>
                    </w:rPr>
                  </w:pPr>
                  <w:r w:rsidDel="00000000" w:rsidR="00000000" w:rsidRPr="00000000">
                    <w:rPr>
                      <w:rFonts w:ascii="Century" w:cs="Century" w:eastAsia="Century" w:hAnsi="Century"/>
                      <w:b w:val="1"/>
                      <w:color w:val="000000"/>
                      <w:sz w:val="22"/>
                      <w:szCs w:val="22"/>
                      <w:u w:val="single"/>
                      <w:rtl w:val="0"/>
                    </w:rPr>
                    <w:t xml:space="preserve">October 2015 – to July  201</w:t>
                  </w:r>
                  <w:r w:rsidDel="00000000" w:rsidR="00000000" w:rsidRPr="00000000">
                    <w:rPr>
                      <w:rFonts w:ascii="Century" w:cs="Century" w:eastAsia="Century" w:hAnsi="Century"/>
                      <w:b w:val="1"/>
                      <w:sz w:val="22"/>
                      <w:szCs w:val="22"/>
                      <w:u w:val="single"/>
                      <w:rtl w:val="0"/>
                    </w:rPr>
                    <w:t xml:space="preserve">9</w:t>
                  </w:r>
                  <w:r w:rsidDel="00000000" w:rsidR="00000000" w:rsidRPr="00000000">
                    <w:rPr>
                      <w:rFonts w:ascii="Century" w:cs="Century" w:eastAsia="Century" w:hAnsi="Century"/>
                      <w:b w:val="1"/>
                      <w:color w:val="000000"/>
                      <w:sz w:val="22"/>
                      <w:szCs w:val="22"/>
                      <w:u w:val="single"/>
                      <w:rtl w:val="0"/>
                    </w:rPr>
                    <w:t xml:space="preserve">   District Supervisor, Apex Consultants Pakistan</w:t>
                  </w:r>
                  <w:r w:rsidDel="00000000" w:rsidR="00000000" w:rsidRPr="00000000">
                    <w:rPr>
                      <w:rFonts w:ascii="Century" w:cs="Century" w:eastAsia="Century" w:hAnsi="Century"/>
                      <w:b w:val="1"/>
                      <w:sz w:val="22"/>
                      <w:szCs w:val="22"/>
                      <w:u w:val="single"/>
                      <w:rtl w:val="0"/>
                    </w:rPr>
                    <w:t xml:space="preserv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The major activities involves: Supervision of field teams if polio drops have been administered in different parts. Facilitated field team as per geographic areas logistically and trouble shoot the difficulties if any during the field work. Ensure proper functionality of devices; uploading of collected data. Prepare, different modes, reports to be submitted online and bi-weekly. </w:t>
                  </w:r>
                </w:p>
                <w:p w:rsidR="00000000" w:rsidDel="00000000" w:rsidP="00000000" w:rsidRDefault="00000000" w:rsidRPr="00000000" w14:paraId="00000021">
                  <w:pPr>
                    <w:spacing w:after="0" w:before="0" w:line="240" w:lineRule="auto"/>
                    <w:rPr>
                      <w:rFonts w:ascii="Century" w:cs="Century" w:eastAsia="Century" w:hAnsi="Century"/>
                      <w:sz w:val="22"/>
                      <w:szCs w:val="22"/>
                    </w:rPr>
                  </w:pPr>
                  <w:r w:rsidDel="00000000" w:rsidR="00000000" w:rsidRPr="00000000">
                    <w:rPr>
                      <w:rtl w:val="0"/>
                    </w:rPr>
                  </w:r>
                </w:p>
                <w:p w:rsidR="00000000" w:rsidDel="00000000" w:rsidP="00000000" w:rsidRDefault="00000000" w:rsidRPr="00000000" w14:paraId="00000022">
                  <w:pPr>
                    <w:spacing w:after="0" w:before="0" w:line="240" w:lineRule="auto"/>
                    <w:rPr>
                      <w:rFonts w:ascii="Century" w:cs="Century" w:eastAsia="Century" w:hAnsi="Century"/>
                      <w:b w:val="1"/>
                      <w:sz w:val="22"/>
                      <w:szCs w:val="22"/>
                      <w:u w:val="single"/>
                    </w:rPr>
                  </w:pPr>
                  <w:r w:rsidDel="00000000" w:rsidR="00000000" w:rsidRPr="00000000">
                    <w:rPr>
                      <w:rFonts w:ascii="Century" w:cs="Century" w:eastAsia="Century" w:hAnsi="Century"/>
                      <w:b w:val="1"/>
                      <w:sz w:val="22"/>
                      <w:szCs w:val="22"/>
                      <w:u w:val="single"/>
                      <w:rtl w:val="0"/>
                    </w:rPr>
                    <w:t xml:space="preserve">December 2011 – December 2011: Field Enumerator </w:t>
                  </w:r>
                  <w:r w:rsidDel="00000000" w:rsidR="00000000" w:rsidRPr="00000000">
                    <w:rPr>
                      <w:rFonts w:ascii="Century" w:cs="Century" w:eastAsia="Century" w:hAnsi="Century"/>
                      <w:b w:val="1"/>
                      <w:color w:val="000000"/>
                      <w:sz w:val="22"/>
                      <w:szCs w:val="22"/>
                      <w:u w:val="single"/>
                      <w:rtl w:val="0"/>
                    </w:rPr>
                    <w:t xml:space="preserve">– Plan International Pakistan district Thatta Sindh</w:t>
                  </w:r>
                  <w:r w:rsidDel="00000000" w:rsidR="00000000" w:rsidRPr="00000000">
                    <w:rPr>
                      <w:rtl w:val="0"/>
                    </w:rPr>
                  </w:r>
                </w:p>
                <w:p w:rsidR="00000000" w:rsidDel="00000000" w:rsidP="00000000" w:rsidRDefault="00000000" w:rsidRPr="00000000" w14:paraId="00000023">
                  <w:pPr>
                    <w:spacing w:after="0" w:before="0" w:line="240" w:lineRule="auto"/>
                    <w:rPr>
                      <w:rFonts w:ascii="Century" w:cs="Century" w:eastAsia="Century" w:hAnsi="Century"/>
                      <w:color w:val="000000"/>
                      <w:sz w:val="22"/>
                      <w:szCs w:val="22"/>
                    </w:rPr>
                  </w:pPr>
                  <w:r w:rsidDel="00000000" w:rsidR="00000000" w:rsidRPr="00000000">
                    <w:rPr>
                      <w:rFonts w:ascii="Century" w:cs="Century" w:eastAsia="Century" w:hAnsi="Century"/>
                      <w:color w:val="000000"/>
                      <w:sz w:val="22"/>
                      <w:szCs w:val="22"/>
                      <w:rtl w:val="0"/>
                    </w:rPr>
                    <w:t xml:space="preserve">This was short period assignment by Plan International Pakistan to facilitate and conduct assessment in different target areas in district Thatta. The major responsibility included conduct situational analysis from perspective of child rights through conducting interviews of children. Conducting in-depth interviews of parents of the children and Imams of local mosques in the area regarding child rights. </w:t>
                  </w:r>
                </w:p>
                <w:p w:rsidR="00000000" w:rsidDel="00000000" w:rsidP="00000000" w:rsidRDefault="00000000" w:rsidRPr="00000000" w14:paraId="00000024">
                  <w:pPr>
                    <w:spacing w:after="0" w:before="0" w:line="240" w:lineRule="auto"/>
                    <w:rPr>
                      <w:rFonts w:ascii="Century" w:cs="Century" w:eastAsia="Century" w:hAnsi="Century"/>
                      <w:color w:val="000000"/>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1"/>
                      <w:i w:val="0"/>
                      <w:smallCaps w:val="0"/>
                      <w:strike w:val="0"/>
                      <w:color w:val="000000"/>
                      <w:sz w:val="22"/>
                      <w:szCs w:val="22"/>
                      <w:u w:val="single"/>
                      <w:shd w:fill="auto" w:val="clear"/>
                      <w:vertAlign w:val="baseline"/>
                    </w:rPr>
                  </w:pPr>
                  <w:r w:rsidDel="00000000" w:rsidR="00000000" w:rsidRPr="00000000">
                    <w:rPr>
                      <w:rFonts w:ascii="Century" w:cs="Century" w:eastAsia="Century" w:hAnsi="Century"/>
                      <w:b w:val="1"/>
                      <w:i w:val="0"/>
                      <w:smallCaps w:val="0"/>
                      <w:strike w:val="0"/>
                      <w:color w:val="000000"/>
                      <w:sz w:val="22"/>
                      <w:szCs w:val="22"/>
                      <w:u w:val="single"/>
                      <w:shd w:fill="auto" w:val="clear"/>
                      <w:vertAlign w:val="baseline"/>
                      <w:rtl w:val="0"/>
                    </w:rPr>
                    <w:t xml:space="preserve">November 2011 – February 2011: Public Health Promotion Officer, Laar Humanitarian and Development Programme (LHDP) district Thatta Sindh </w:t>
                  </w:r>
                </w:p>
                <w:p w:rsidR="00000000" w:rsidDel="00000000" w:rsidP="00000000" w:rsidRDefault="00000000" w:rsidRPr="00000000" w14:paraId="00000026">
                  <w:pPr>
                    <w:tabs>
                      <w:tab w:val="left" w:pos="0"/>
                      <w:tab w:val="left" w:pos="360"/>
                    </w:tabs>
                    <w:spacing w:after="0" w:before="0" w:line="240" w:lineRule="auto"/>
                    <w:rPr>
                      <w:rFonts w:ascii="Century" w:cs="Century" w:eastAsia="Century" w:hAnsi="Century"/>
                      <w:sz w:val="22"/>
                      <w:szCs w:val="22"/>
                    </w:rPr>
                  </w:pPr>
                  <w:r w:rsidDel="00000000" w:rsidR="00000000" w:rsidRPr="00000000">
                    <w:rPr>
                      <w:rFonts w:ascii="Century" w:cs="Century" w:eastAsia="Century" w:hAnsi="Century"/>
                      <w:sz w:val="22"/>
                      <w:szCs w:val="22"/>
                      <w:rtl w:val="0"/>
                    </w:rPr>
                    <w:t xml:space="preserve">To manage the designated activities as per methodology and time-frame; supervise and facilitate the performance of designated field teams in the target areas regularly basis. Formulate village development committees (VDC) and community health volunteers (CHV) in different target locations of the district. Build the related capacity of VDCs and CHVs on hygiene promotion and how to observe it practically in their respective villages and how to prepare for disasters and how to reduce associated risks to health. Ensure the delivery of sessions on hygiene promotion in the target locations by the field teams. Enhance the capacity of communities to undertake and observe safer hygiene practices regularly to maintain their health. Ensure and facilitate the filed teams in identification, selection, registration and distribution of hygiene kits and necessary other items during the emergency period. Maintain the documentation and records of the project in proper order. </w:t>
                  </w:r>
                </w:p>
                <w:p w:rsidR="00000000" w:rsidDel="00000000" w:rsidP="00000000" w:rsidRDefault="00000000" w:rsidRPr="00000000" w14:paraId="00000027">
                  <w:pPr>
                    <w:tabs>
                      <w:tab w:val="left" w:pos="0"/>
                      <w:tab w:val="left" w:pos="360"/>
                    </w:tabs>
                    <w:spacing w:after="0" w:before="0" w:line="240" w:lineRule="auto"/>
                    <w:rPr>
                      <w:rFonts w:ascii="Century" w:cs="Century" w:eastAsia="Century" w:hAnsi="Century"/>
                      <w:sz w:val="22"/>
                      <w:szCs w:val="22"/>
                    </w:rPr>
                  </w:pPr>
                  <w:r w:rsidDel="00000000" w:rsidR="00000000" w:rsidRPr="00000000">
                    <w:rPr>
                      <w:rtl w:val="0"/>
                    </w:rPr>
                  </w:r>
                </w:p>
                <w:p w:rsidR="00000000" w:rsidDel="00000000" w:rsidP="00000000" w:rsidRDefault="00000000" w:rsidRPr="00000000" w14:paraId="00000028">
                  <w:pPr>
                    <w:spacing w:after="0" w:before="0" w:line="240" w:lineRule="auto"/>
                    <w:rPr>
                      <w:rFonts w:ascii="Century" w:cs="Century" w:eastAsia="Century" w:hAnsi="Century"/>
                      <w:b w:val="1"/>
                      <w:sz w:val="22"/>
                      <w:szCs w:val="22"/>
                      <w:u w:val="single"/>
                    </w:rPr>
                  </w:pPr>
                  <w:r w:rsidDel="00000000" w:rsidR="00000000" w:rsidRPr="00000000">
                    <w:rPr>
                      <w:rFonts w:ascii="Century" w:cs="Century" w:eastAsia="Century" w:hAnsi="Century"/>
                      <w:b w:val="1"/>
                      <w:color w:val="000000"/>
                      <w:sz w:val="22"/>
                      <w:szCs w:val="22"/>
                      <w:u w:val="single"/>
                      <w:rtl w:val="0"/>
                    </w:rPr>
                    <w:t xml:space="preserve">January 2011 – September 2011: </w:t>
                  </w:r>
                  <w:r w:rsidDel="00000000" w:rsidR="00000000" w:rsidRPr="00000000">
                    <w:rPr>
                      <w:rFonts w:ascii="Century" w:cs="Century" w:eastAsia="Century" w:hAnsi="Century"/>
                      <w:b w:val="1"/>
                      <w:sz w:val="22"/>
                      <w:szCs w:val="22"/>
                      <w:u w:val="single"/>
                      <w:rtl w:val="0"/>
                    </w:rPr>
                    <w:t xml:space="preserve">WASH Project funded by European Commission LHDP-Oxfam, District Kamber-Shahdadkot in union councils such as Hazar Wah, Aitibar Chandio, Jamali, and Khabar. </w:t>
                  </w:r>
                </w:p>
                <w:p w:rsidR="00000000" w:rsidDel="00000000" w:rsidP="00000000" w:rsidRDefault="00000000" w:rsidRPr="00000000" w14:paraId="00000029">
                  <w:pPr>
                    <w:widowControl w:val="0"/>
                    <w:spacing w:after="0" w:before="0" w:line="240" w:lineRule="auto"/>
                    <w:rPr>
                      <w:sz w:val="22"/>
                      <w:szCs w:val="22"/>
                    </w:rPr>
                  </w:pPr>
                  <w:r w:rsidDel="00000000" w:rsidR="00000000" w:rsidRPr="00000000">
                    <w:rPr>
                      <w:rFonts w:ascii="Century" w:cs="Century" w:eastAsia="Century" w:hAnsi="Century"/>
                      <w:sz w:val="22"/>
                      <w:szCs w:val="22"/>
                      <w:rtl w:val="0"/>
                    </w:rPr>
                    <w:t xml:space="preserve">The major responsibilities comprised of facilitating the Program Officer on regular basis for field work</w:t>
                  </w:r>
                  <w:r w:rsidDel="00000000" w:rsidR="00000000" w:rsidRPr="00000000">
                    <w:rPr>
                      <w:sz w:val="22"/>
                      <w:szCs w:val="22"/>
                      <w:rtl w:val="0"/>
                    </w:rPr>
                    <w:t xml:space="preserve">.  Identification of target communities and formulate the social infrastructure of communities included formation of VDCs and CHVs in the target areas. Deliver the sessions in communities on hygiene promotion; build the capacity of communities regarding the Health and Hygiene practices for safer practices on daily basis. To facilitate the P.O during the Selection, Registration and Distribution of Hygiene Kits as well all necessarily items.</w:t>
                  </w:r>
                </w:p>
                <w:p w:rsidR="00000000" w:rsidDel="00000000" w:rsidP="00000000" w:rsidRDefault="00000000" w:rsidRPr="00000000" w14:paraId="0000002A">
                  <w:pPr>
                    <w:widowControl w:val="0"/>
                    <w:spacing w:after="0" w:before="0" w:line="240" w:lineRule="auto"/>
                    <w:rPr>
                      <w:sz w:val="22"/>
                      <w:szCs w:val="22"/>
                    </w:rPr>
                  </w:pPr>
                  <w:r w:rsidDel="00000000" w:rsidR="00000000" w:rsidRPr="00000000">
                    <w:rPr>
                      <w:rtl w:val="0"/>
                    </w:rPr>
                  </w:r>
                </w:p>
                <w:p w:rsidR="00000000" w:rsidDel="00000000" w:rsidP="00000000" w:rsidRDefault="00000000" w:rsidRPr="00000000" w14:paraId="0000002B">
                  <w:pPr>
                    <w:spacing w:after="0" w:before="0" w:line="240" w:lineRule="auto"/>
                    <w:rPr>
                      <w:rFonts w:ascii="Century" w:cs="Century" w:eastAsia="Century" w:hAnsi="Century"/>
                      <w:b w:val="1"/>
                      <w:color w:val="000000"/>
                      <w:sz w:val="22"/>
                      <w:szCs w:val="22"/>
                      <w:u w:val="single"/>
                    </w:rPr>
                  </w:pPr>
                  <w:r w:rsidDel="00000000" w:rsidR="00000000" w:rsidRPr="00000000">
                    <w:rPr>
                      <w:rFonts w:ascii="Century" w:cs="Century" w:eastAsia="Century" w:hAnsi="Century"/>
                      <w:b w:val="1"/>
                      <w:color w:val="000000"/>
                      <w:sz w:val="22"/>
                      <w:szCs w:val="22"/>
                      <w:u w:val="single"/>
                      <w:rtl w:val="0"/>
                    </w:rPr>
                    <w:t xml:space="preserve">April 2012 – April 2012: Team Leader Fast Rural Development Programme (FRDP) district Kambar-Shahdad kot</w:t>
                  </w:r>
                </w:p>
                <w:p w:rsidR="00000000" w:rsidDel="00000000" w:rsidP="00000000" w:rsidRDefault="00000000" w:rsidRPr="00000000" w14:paraId="0000002C">
                  <w:pPr>
                    <w:spacing w:after="0" w:before="0" w:line="240" w:lineRule="auto"/>
                    <w:rPr>
                      <w:rFonts w:ascii="Century" w:cs="Century" w:eastAsia="Century" w:hAnsi="Century"/>
                      <w:sz w:val="22"/>
                      <w:szCs w:val="22"/>
                    </w:rPr>
                  </w:pPr>
                  <w:r w:rsidDel="00000000" w:rsidR="00000000" w:rsidRPr="00000000">
                    <w:rPr>
                      <w:rFonts w:ascii="Century" w:cs="Century" w:eastAsia="Century" w:hAnsi="Century"/>
                      <w:sz w:val="22"/>
                      <w:szCs w:val="22"/>
                      <w:rtl w:val="0"/>
                    </w:rPr>
                    <w:t xml:space="preserve">This was a short period assignment to conduct the post implementation evaluation of livelihood support project which was implemented by Association of Humanitarian Development (AHD) in district Kambar-Shahdad kot. Specific tools and techniques as per described by the organization were applied to evaluate the achievement of outcome and outputs against the project proposal. Preparation of initial report based on the findings and discussions with relevant stakeholders. </w:t>
                  </w:r>
                </w:p>
                <w:p w:rsidR="00000000" w:rsidDel="00000000" w:rsidP="00000000" w:rsidRDefault="00000000" w:rsidRPr="00000000" w14:paraId="0000002D">
                  <w:pPr>
                    <w:spacing w:after="0" w:before="0" w:line="240" w:lineRule="auto"/>
                    <w:rPr>
                      <w:rFonts w:ascii="Century" w:cs="Century" w:eastAsia="Century" w:hAnsi="Century"/>
                      <w:color w:val="000000"/>
                      <w:sz w:val="22"/>
                      <w:szCs w:val="22"/>
                    </w:rPr>
                  </w:pPr>
                  <w:r w:rsidDel="00000000" w:rsidR="00000000" w:rsidRPr="00000000">
                    <w:rPr>
                      <w:rtl w:val="0"/>
                    </w:rPr>
                  </w:r>
                </w:p>
              </w:tc>
            </w:tr>
          </w:tbl>
          <w:p w:rsidR="00000000" w:rsidDel="00000000" w:rsidP="00000000" w:rsidRDefault="00000000" w:rsidRPr="00000000" w14:paraId="0000002E">
            <w:pPr>
              <w:spacing w:after="0" w:before="0" w:line="240" w:lineRule="auto"/>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30">
            <w:pPr>
              <w:spacing w:after="0" w:before="0" w:line="240"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31">
            <w:pPr>
              <w:spacing w:after="0" w:before="0" w:line="240" w:lineRule="auto"/>
              <w:rPr>
                <w:rFonts w:ascii="Arial" w:cs="Arial" w:eastAsia="Arial" w:hAnsi="Arial"/>
                <w:sz w:val="2"/>
                <w:szCs w:val="2"/>
              </w:rPr>
            </w:pPr>
            <w:r w:rsidDel="00000000" w:rsidR="00000000" w:rsidRPr="00000000">
              <w:rPr>
                <w:rtl w:val="0"/>
              </w:rPr>
            </w:r>
          </w:p>
          <w:p w:rsidR="00000000" w:rsidDel="00000000" w:rsidP="00000000" w:rsidRDefault="00000000" w:rsidRPr="00000000" w14:paraId="00000032">
            <w:pPr>
              <w:spacing w:after="0" w:before="0" w:line="240" w:lineRule="auto"/>
              <w:rPr>
                <w:rFonts w:ascii="Arial" w:cs="Arial" w:eastAsia="Arial" w:hAnsi="Arial"/>
                <w:sz w:val="2"/>
                <w:szCs w:val="2"/>
              </w:rPr>
            </w:pPr>
            <w:r w:rsidDel="00000000" w:rsidR="00000000" w:rsidRPr="00000000">
              <w:rPr>
                <w:rtl w:val="0"/>
              </w:rPr>
            </w:r>
          </w:p>
          <w:tbl>
            <w:tblPr>
              <w:tblStyle w:val="Table7"/>
              <w:tblW w:w="10446.0" w:type="dxa"/>
              <w:jc w:val="left"/>
              <w:tblBorders>
                <w:top w:color="aebad5" w:space="0" w:sz="8" w:val="single"/>
                <w:left w:color="aebad5" w:space="0" w:sz="8" w:val="single"/>
                <w:bottom w:color="aebad5" w:space="0" w:sz="8" w:val="single"/>
                <w:right w:color="aebad5" w:space="0" w:sz="8" w:val="single"/>
                <w:insideH w:color="aebad5" w:space="0" w:sz="8" w:val="single"/>
                <w:insideV w:color="aebad5" w:space="0" w:sz="8" w:val="single"/>
              </w:tblBorders>
              <w:tblLayout w:type="fixed"/>
              <w:tblLook w:val="0400"/>
            </w:tblPr>
            <w:tblGrid>
              <w:gridCol w:w="10446"/>
              <w:tblGridChange w:id="0">
                <w:tblGrid>
                  <w:gridCol w:w="10446"/>
                </w:tblGrid>
              </w:tblGridChange>
            </w:tblGrid>
            <w:tr>
              <w:tc>
                <w:tcPr>
                  <w:tcBorders>
                    <w:top w:color="aebad5" w:space="0" w:sz="8" w:val="single"/>
                    <w:left w:color="aebad5" w:space="0" w:sz="8" w:val="single"/>
                    <w:bottom w:color="aebad5" w:space="0" w:sz="8" w:val="single"/>
                    <w:right w:color="aebad5" w:space="0" w:sz="8" w:val="single"/>
                  </w:tcBorders>
                  <w:shd w:fill="ccccff" w:val="clear"/>
                </w:tcPr>
                <w:p w:rsidR="00000000" w:rsidDel="00000000" w:rsidP="00000000" w:rsidRDefault="00000000" w:rsidRPr="00000000" w14:paraId="00000033">
                  <w:pPr>
                    <w:spacing w:after="0" w:before="0" w:line="240" w:lineRule="auto"/>
                    <w:jc w:val="center"/>
                    <w:rPr>
                      <w:b w:val="1"/>
                      <w:color w:val="3b3e42"/>
                      <w:sz w:val="24"/>
                      <w:szCs w:val="24"/>
                    </w:rPr>
                  </w:pPr>
                  <w:r w:rsidDel="00000000" w:rsidR="00000000" w:rsidRPr="00000000">
                    <w:rPr>
                      <w:b w:val="1"/>
                      <w:color w:val="3b3e42"/>
                      <w:sz w:val="24"/>
                      <w:szCs w:val="24"/>
                      <w:rtl w:val="0"/>
                    </w:rPr>
                    <w:t xml:space="preserve">Trainings </w:t>
                  </w:r>
                </w:p>
              </w:tc>
            </w:tr>
            <w:tr>
              <w:tc>
                <w:tcPr>
                  <w:tcBorders>
                    <w:top w:color="aebad5" w:space="0" w:sz="6" w:val="single"/>
                    <w:left w:color="aebad5" w:space="0" w:sz="8" w:val="single"/>
                    <w:bottom w:color="aebad5" w:space="0" w:sz="6" w:val="single"/>
                    <w:right w:color="aebad5" w:space="0" w:sz="8" w:val="single"/>
                  </w:tcBorders>
                </w:tcPr>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Indus Resource Centre – 2010: </w:t>
                  </w: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Child Protection in Emergency Shahdad kot</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LHDP 2011: Hygiene promotion Larkana</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Apex 2015 to 2018. Monitoring Officer.  </w:t>
                  </w:r>
                </w:p>
              </w:tc>
            </w:tr>
            <w:tr>
              <w:tc>
                <w:tcPr>
                  <w:tcBorders>
                    <w:top w:color="aebad5" w:space="0" w:sz="6" w:val="single"/>
                    <w:left w:color="aebad5" w:space="0" w:sz="8" w:val="single"/>
                    <w:bottom w:color="aebad5" w:space="0" w:sz="6" w:val="single"/>
                    <w:right w:color="aebad5" w:space="0" w:sz="8" w:val="single"/>
                  </w:tcBorders>
                  <w:shd w:fill="ccccff" w:val="cle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3b3e42"/>
                      <w:sz w:val="24"/>
                      <w:szCs w:val="24"/>
                      <w:u w:val="none"/>
                      <w:shd w:fill="auto" w:val="clear"/>
                      <w:vertAlign w:val="baseline"/>
                      <w:rtl w:val="0"/>
                    </w:rPr>
                    <w:t xml:space="preserve">References </w:t>
                  </w:r>
                  <w:r w:rsidDel="00000000" w:rsidR="00000000" w:rsidRPr="00000000">
                    <w:rPr>
                      <w:rtl w:val="0"/>
                    </w:rPr>
                  </w:r>
                </w:p>
              </w:tc>
            </w:tr>
            <w:tr>
              <w:tc>
                <w:tcPr>
                  <w:tcBorders>
                    <w:top w:color="aebad5" w:space="0" w:sz="6" w:val="single"/>
                    <w:left w:color="aebad5" w:space="0" w:sz="8" w:val="single"/>
                    <w:bottom w:color="aebad5" w:space="0" w:sz="8" w:val="single"/>
                    <w:right w:color="aebad5" w:space="0" w:sz="8"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Available on request</w:t>
                  </w:r>
                </w:p>
              </w:tc>
            </w:tr>
          </w:tbl>
          <w:p w:rsidR="00000000" w:rsidDel="00000000" w:rsidP="00000000" w:rsidRDefault="00000000" w:rsidRPr="00000000" w14:paraId="00000039">
            <w:pPr>
              <w:spacing w:after="0" w:before="0" w:line="240" w:lineRule="auto"/>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3B">
            <w:pPr>
              <w:spacing w:after="0" w:before="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spacing w:after="0" w:before="0" w:line="240" w:lineRule="auto"/>
              <w:rPr>
                <w:rFonts w:ascii="Arial" w:cs="Arial" w:eastAsia="Arial" w:hAnsi="Arial"/>
              </w:rPr>
            </w:pPr>
            <w:r w:rsidDel="00000000" w:rsidR="00000000" w:rsidRPr="00000000">
              <w:rPr>
                <w:rtl w:val="0"/>
              </w:rPr>
            </w:r>
          </w:p>
        </w:tc>
      </w:tr>
      <w:tr>
        <w:tc>
          <w:tcPr>
            <w:gridSpan w:val="2"/>
          </w:tcPr>
          <w:p w:rsidR="00000000" w:rsidDel="00000000" w:rsidP="00000000" w:rsidRDefault="00000000" w:rsidRPr="00000000" w14:paraId="0000003E">
            <w:pPr>
              <w:spacing w:after="0" w:before="0" w:line="240" w:lineRule="auto"/>
              <w:rPr>
                <w:rFonts w:ascii="Arial" w:cs="Arial" w:eastAsia="Arial" w:hAnsi="Arial"/>
                <w:sz w:val="4"/>
                <w:szCs w:val="4"/>
              </w:rPr>
            </w:pPr>
            <w:r w:rsidDel="00000000" w:rsidR="00000000" w:rsidRPr="00000000">
              <w:rPr>
                <w:rtl w:val="0"/>
              </w:rPr>
            </w:r>
          </w:p>
        </w:tc>
      </w:tr>
    </w:tbl>
    <w:p w:rsidR="00000000" w:rsidDel="00000000" w:rsidP="00000000" w:rsidRDefault="00000000" w:rsidRPr="00000000" w14:paraId="00000040">
      <w:pPr>
        <w:spacing w:after="0" w:before="0" w:line="240" w:lineRule="auto"/>
        <w:rPr>
          <w:rFonts w:ascii="Arial" w:cs="Arial" w:eastAsia="Arial" w:hAnsi="Arial"/>
        </w:rPr>
      </w:pPr>
      <w:r w:rsidDel="00000000" w:rsidR="00000000" w:rsidRPr="00000000">
        <w:rPr>
          <w:rtl w:val="0"/>
        </w:rPr>
      </w:r>
    </w:p>
    <w:sectPr>
      <w:footerReference r:id="rId7" w:type="default"/>
      <w:pgSz w:h="16838" w:w="11906" w:orient="portrait"/>
      <w:pgMar w:bottom="720" w:top="720" w:left="720" w:right="720" w:header="708" w:footer="1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entury Schoolbook"/>
  <w:font w:name="Arial"/>
  <w:font w:name="Abril Fatface"/>
  <w:font w:name="Algerian"/>
  <w:font w:name="Century"/>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entury Schoolbook" w:cs="Century Schoolbook" w:eastAsia="Century Schoolbook" w:hAnsi="Century Schoolbook"/>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Schoolbook" w:cs="Century Schoolbook" w:eastAsia="Century Schoolbook" w:hAnsi="Century Schoolbook"/>
        <w:lang w:val="en-US"/>
      </w:rPr>
    </w:rPrDefault>
    <w:pPrDefault>
      <w:pPr>
        <w:spacing w:after="200" w:before="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3667c3"/>
      <w:sz w:val="22"/>
      <w:szCs w:val="22"/>
    </w:rPr>
  </w:style>
  <w:style w:type="paragraph" w:styleId="Heading6">
    <w:name w:val="heading 6"/>
    <w:basedOn w:val="Normal"/>
    <w:next w:val="Normal"/>
    <w:pPr>
      <w:spacing w:after="0" w:lineRule="auto"/>
      <w:jc w:val="left"/>
    </w:pPr>
    <w:rPr>
      <w:smallCaps w:val="1"/>
      <w:color w:val="7598d9"/>
      <w:sz w:val="22"/>
      <w:szCs w:val="22"/>
    </w:rPr>
  </w:style>
  <w:style w:type="paragraph" w:styleId="Title">
    <w:name w:val="Title"/>
    <w:basedOn w:val="Normal"/>
    <w:next w:val="Normal"/>
    <w:pPr>
      <w:pBdr>
        <w:top w:color="7598d9" w:space="1" w:sz="12" w:val="single"/>
      </w:pBdr>
      <w:spacing w:line="240" w:lineRule="auto"/>
      <w:jc w:val="right"/>
    </w:pPr>
    <w:rPr>
      <w:smallCaps w:val="1"/>
      <w:sz w:val="48"/>
      <w:szCs w:val="48"/>
    </w:rPr>
  </w:style>
  <w:style w:type="paragraph" w:styleId="Subtitle">
    <w:name w:val="Subtitle"/>
    <w:basedOn w:val="Normal"/>
    <w:next w:val="Normal"/>
    <w:pPr>
      <w:spacing w:after="720" w:line="240" w:lineRule="auto"/>
      <w:jc w:val="right"/>
    </w:pPr>
    <w:rPr/>
  </w:style>
  <w:style w:type="table" w:styleId="Table1">
    <w:basedOn w:val="TableNormal"/>
    <w:rPr>
      <w:color w:val="6d83b3"/>
    </w:rPr>
    <w:tblPr>
      <w:tblStyleRowBandSize w:val="1"/>
      <w:tblStyleColBandSize w:val="1"/>
      <w:tblCellMar>
        <w:top w:w="0.0" w:type="dxa"/>
        <w:left w:w="115.0" w:type="dxa"/>
        <w:bottom w:w="0.0" w:type="dxa"/>
        <w:right w:w="115.0" w:type="dxa"/>
      </w:tblCellMar>
    </w:tblPr>
  </w:style>
  <w:style w:type="table" w:styleId="Table2">
    <w:basedOn w:val="TableNormal"/>
    <w:rPr>
      <w:color w:val="6d83b3"/>
    </w:rPr>
    <w:tblPr>
      <w:tblStyleRowBandSize w:val="1"/>
      <w:tblStyleColBandSize w:val="1"/>
      <w:tblCellMar>
        <w:top w:w="0.0" w:type="dxa"/>
        <w:left w:w="115.0" w:type="dxa"/>
        <w:bottom w:w="0.0" w:type="dxa"/>
        <w:right w:w="115.0" w:type="dxa"/>
      </w:tblCellMar>
    </w:tblPr>
  </w:style>
  <w:style w:type="table" w:styleId="Table3">
    <w:basedOn w:val="TableNormal"/>
    <w:rPr>
      <w:color w:val="6d83b3"/>
    </w:rPr>
    <w:tblPr>
      <w:tblStyleRowBandSize w:val="1"/>
      <w:tblStyleColBandSize w:val="1"/>
      <w:tblCellMar>
        <w:top w:w="0.0" w:type="dxa"/>
        <w:left w:w="115.0" w:type="dxa"/>
        <w:bottom w:w="0.0" w:type="dxa"/>
        <w:right w:w="115.0" w:type="dxa"/>
      </w:tblCellMar>
    </w:tblPr>
  </w:style>
  <w:style w:type="table" w:styleId="Table4">
    <w:basedOn w:val="TableNormal"/>
    <w:rPr>
      <w:color w:val="6d83b3"/>
    </w:rPr>
    <w:tblPr>
      <w:tblStyleRowBandSize w:val="1"/>
      <w:tblStyleColBandSize w:val="1"/>
      <w:tblCellMar>
        <w:top w:w="0.0" w:type="dxa"/>
        <w:left w:w="115.0" w:type="dxa"/>
        <w:bottom w:w="0.0" w:type="dxa"/>
        <w:right w:w="115.0" w:type="dxa"/>
      </w:tblCellMar>
    </w:tblPr>
  </w:style>
  <w:style w:type="table" w:styleId="Table5">
    <w:basedOn w:val="TableNormal"/>
    <w:rPr>
      <w:color w:val="6d83b3"/>
    </w:rPr>
    <w:tblPr>
      <w:tblStyleRowBandSize w:val="1"/>
      <w:tblStyleColBandSize w:val="1"/>
      <w:tblCellMar>
        <w:top w:w="0.0" w:type="dxa"/>
        <w:left w:w="115.0" w:type="dxa"/>
        <w:bottom w:w="0.0" w:type="dxa"/>
        <w:right w:w="115.0" w:type="dxa"/>
      </w:tblCellMar>
    </w:tblPr>
  </w:style>
  <w:style w:type="table" w:styleId="Table6">
    <w:basedOn w:val="TableNormal"/>
    <w:rPr>
      <w:color w:val="6d83b3"/>
    </w:rPr>
    <w:tblPr>
      <w:tblStyleRowBandSize w:val="1"/>
      <w:tblStyleColBandSize w:val="1"/>
      <w:tblCellMar>
        <w:top w:w="0.0" w:type="dxa"/>
        <w:left w:w="115.0" w:type="dxa"/>
        <w:bottom w:w="0.0" w:type="dxa"/>
        <w:right w:w="115.0" w:type="dxa"/>
      </w:tblCellMar>
    </w:tblPr>
  </w:style>
  <w:style w:type="table" w:styleId="Table7">
    <w:basedOn w:val="TableNormal"/>
    <w:rPr>
      <w:color w:val="6d83b3"/>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yperlink" Target="mailto:abdullamastoi@gmail.com" TargetMode="External"/><Relationship Id="rId7" Type="http://schemas.openxmlformats.org/officeDocument/2006/relationships/footer" Target="footer1.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