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FA" w:rsidRPr="00551F42" w:rsidRDefault="004C4AFA" w:rsidP="004C4AFA">
      <w:pPr>
        <w:pStyle w:val="Heading1"/>
        <w:spacing w:before="0"/>
        <w:rPr>
          <w:rFonts w:ascii="Arial" w:hAnsi="Arial" w:cs="Arial"/>
          <w:b/>
          <w:bCs/>
          <w:color w:val="000000" w:themeColor="text1"/>
          <w:sz w:val="20"/>
          <w:szCs w:val="20"/>
        </w:rPr>
      </w:pPr>
      <w:bookmarkStart w:id="0" w:name="_Toc111589574"/>
      <w:bookmarkStart w:id="1" w:name="_Toc111590019"/>
      <w:bookmarkStart w:id="2" w:name="_Toc115118600"/>
      <w:r w:rsidRPr="00551F42">
        <w:rPr>
          <w:rFonts w:ascii="Arial" w:hAnsi="Arial" w:cs="Arial"/>
          <w:b/>
          <w:bCs/>
          <w:color w:val="000000" w:themeColor="text1"/>
          <w:sz w:val="20"/>
          <w:szCs w:val="20"/>
        </w:rPr>
        <w:t>Tool 1:</w:t>
      </w:r>
      <w:r w:rsidRPr="00551F42">
        <w:rPr>
          <w:rFonts w:ascii="Arial" w:hAnsi="Arial" w:cs="Arial"/>
          <w:b/>
          <w:bCs/>
          <w:color w:val="000000" w:themeColor="text1"/>
          <w:sz w:val="20"/>
          <w:szCs w:val="20"/>
        </w:rPr>
        <w:tab/>
      </w:r>
      <w:bookmarkEnd w:id="0"/>
      <w:bookmarkEnd w:id="1"/>
      <w:r w:rsidRPr="00551F42">
        <w:rPr>
          <w:rFonts w:ascii="Arial" w:hAnsi="Arial" w:cs="Arial"/>
          <w:b/>
          <w:color w:val="000000" w:themeColor="text1"/>
          <w:sz w:val="20"/>
          <w:szCs w:val="20"/>
        </w:rPr>
        <w:t>Key Informant Interview for SEAH Risk Assessment</w:t>
      </w:r>
      <w:bookmarkEnd w:id="2"/>
    </w:p>
    <w:tbl>
      <w:tblPr>
        <w:tblStyle w:val="TableGridLight1"/>
        <w:tblW w:w="0" w:type="auto"/>
        <w:tblLook w:val="04A0" w:firstRow="1" w:lastRow="0" w:firstColumn="1" w:lastColumn="0" w:noHBand="0" w:noVBand="1"/>
      </w:tblPr>
      <w:tblGrid>
        <w:gridCol w:w="1782"/>
        <w:gridCol w:w="7568"/>
      </w:tblGrid>
      <w:tr w:rsidR="004C4AFA" w:rsidRPr="00551F42" w:rsidTr="004C4AFA">
        <w:trPr>
          <w:trHeight w:val="65"/>
        </w:trPr>
        <w:tc>
          <w:tcPr>
            <w:tcW w:w="0" w:type="auto"/>
            <w:gridSpan w:val="2"/>
            <w:shd w:val="clear" w:color="auto" w:fill="D0CECE" w:themeFill="background2" w:themeFillShade="E6"/>
          </w:tcPr>
          <w:p w:rsidR="004C4AFA" w:rsidRPr="00551F42" w:rsidRDefault="004C4AFA" w:rsidP="00D33AC6">
            <w:pPr>
              <w:rPr>
                <w:rFonts w:cs="Arial"/>
                <w:b/>
                <w:bCs/>
                <w:color w:val="000000" w:themeColor="text1"/>
              </w:rPr>
            </w:pPr>
            <w:r w:rsidRPr="00551F42">
              <w:rPr>
                <w:rFonts w:cs="Arial"/>
                <w:b/>
                <w:bCs/>
                <w:color w:val="000000" w:themeColor="text1"/>
              </w:rPr>
              <w:t xml:space="preserve">Basic Information </w:t>
            </w:r>
          </w:p>
        </w:tc>
      </w:tr>
      <w:tr w:rsidR="004C4AFA" w:rsidRPr="00551F42" w:rsidTr="004C4AFA">
        <w:trPr>
          <w:trHeight w:val="130"/>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 xml:space="preserve">Objectives </w:t>
            </w:r>
          </w:p>
        </w:tc>
        <w:tc>
          <w:tcPr>
            <w:tcW w:w="0" w:type="auto"/>
            <w:vAlign w:val="center"/>
          </w:tcPr>
          <w:p w:rsidR="004C4AFA" w:rsidRPr="00551F42" w:rsidRDefault="004C4AFA" w:rsidP="00D33AC6">
            <w:pPr>
              <w:jc w:val="both"/>
              <w:rPr>
                <w:rFonts w:cs="Arial"/>
                <w:color w:val="000000" w:themeColor="text1"/>
              </w:rPr>
            </w:pPr>
            <w:r w:rsidRPr="00551F42">
              <w:rPr>
                <w:rFonts w:cs="Arial"/>
                <w:color w:val="000000" w:themeColor="text1"/>
              </w:rPr>
              <w:t xml:space="preserve">To assess capacity of </w:t>
            </w:r>
            <w:r w:rsidRPr="00551F42">
              <w:rPr>
                <w:rFonts w:cs="Arial"/>
                <w:color w:val="000000" w:themeColor="text1"/>
                <w:lang w:val="en-GB"/>
              </w:rPr>
              <w:t xml:space="preserve">School Education Department, PMIU, QAED, Literacy and Non-Formal Education, Special Education </w:t>
            </w:r>
            <w:r w:rsidRPr="00551F42">
              <w:rPr>
                <w:rFonts w:cs="Arial"/>
                <w:color w:val="000000" w:themeColor="text1"/>
              </w:rPr>
              <w:t>departments for preventing and responding to sexual exploitation, abuse and harassment</w:t>
            </w:r>
          </w:p>
        </w:tc>
      </w:tr>
      <w:tr w:rsidR="004C4AFA" w:rsidRPr="00551F42" w:rsidTr="004C4AFA">
        <w:trPr>
          <w:trHeight w:val="647"/>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 xml:space="preserve">Types of Respondents </w:t>
            </w:r>
          </w:p>
        </w:tc>
        <w:tc>
          <w:tcPr>
            <w:tcW w:w="0" w:type="auto"/>
            <w:vAlign w:val="center"/>
          </w:tcPr>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Secretary or Special Secretary of </w:t>
            </w:r>
            <w:r w:rsidRPr="00551F42">
              <w:rPr>
                <w:rFonts w:ascii="Arial" w:hAnsi="Arial" w:cs="Arial"/>
                <w:color w:val="000000" w:themeColor="text1"/>
                <w:sz w:val="20"/>
                <w:szCs w:val="20"/>
                <w:lang w:val="en-GB"/>
              </w:rPr>
              <w:t>School Education Department</w:t>
            </w:r>
          </w:p>
          <w:p w:rsidR="004C4AFA" w:rsidRPr="00551F42" w:rsidRDefault="004C4AFA" w:rsidP="00D33AC6">
            <w:pPr>
              <w:pStyle w:val="PlainText"/>
              <w:rPr>
                <w:rFonts w:ascii="Arial" w:eastAsia="Times New Roman" w:hAnsi="Arial" w:cs="Arial"/>
                <w:color w:val="000000" w:themeColor="text1"/>
                <w:sz w:val="20"/>
                <w:szCs w:val="20"/>
                <w:lang w:val="en-GB"/>
              </w:rPr>
            </w:pPr>
            <w:r w:rsidRPr="00551F42">
              <w:rPr>
                <w:rFonts w:ascii="Arial" w:eastAsia="Times New Roman" w:hAnsi="Arial" w:cs="Arial"/>
                <w:color w:val="000000" w:themeColor="text1"/>
                <w:sz w:val="20"/>
                <w:szCs w:val="20"/>
                <w:lang w:val="en-GB"/>
              </w:rPr>
              <w:t>Additional Secretary (Planning and Budget)</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PD of </w:t>
            </w:r>
            <w:r w:rsidRPr="00551F42">
              <w:rPr>
                <w:rFonts w:ascii="Arial" w:hAnsi="Arial" w:cs="Arial"/>
                <w:color w:val="000000" w:themeColor="text1"/>
                <w:sz w:val="20"/>
                <w:szCs w:val="20"/>
                <w:lang w:val="en-GB"/>
              </w:rPr>
              <w:t>PMIU (Secretariat for the TALEEM programme)</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Manager, Coordination and Implementation, TALEEM Cell (if appointed) </w:t>
            </w:r>
            <w:r w:rsidRPr="00551F42">
              <w:rPr>
                <w:rFonts w:ascii="Arial" w:hAnsi="Arial" w:cs="Arial"/>
                <w:color w:val="000000" w:themeColor="text1"/>
                <w:sz w:val="20"/>
                <w:szCs w:val="20"/>
                <w:lang w:val="en-GB"/>
              </w:rPr>
              <w:t>PMIU (Secretariat for the TALEEM programme)</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DG, QAED</w:t>
            </w:r>
          </w:p>
          <w:p w:rsidR="004C4AFA" w:rsidRPr="00551F42" w:rsidRDefault="004C4AFA" w:rsidP="00D33AC6">
            <w:pPr>
              <w:pStyle w:val="PlainText"/>
              <w:rPr>
                <w:rFonts w:ascii="Arial" w:eastAsia="Times New Roman" w:hAnsi="Arial" w:cs="Arial"/>
                <w:color w:val="000000" w:themeColor="text1"/>
                <w:sz w:val="20"/>
                <w:szCs w:val="20"/>
                <w:lang w:val="en-GB"/>
              </w:rPr>
            </w:pPr>
            <w:r w:rsidRPr="00551F42">
              <w:rPr>
                <w:rFonts w:ascii="Arial" w:eastAsia="Times New Roman" w:hAnsi="Arial" w:cs="Arial"/>
                <w:color w:val="000000" w:themeColor="text1"/>
                <w:sz w:val="20"/>
                <w:szCs w:val="20"/>
                <w:lang w:val="en-GB"/>
              </w:rPr>
              <w:t>Focal Point, TALEEM programme</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Secretary </w:t>
            </w:r>
            <w:r w:rsidRPr="00551F42">
              <w:rPr>
                <w:rFonts w:ascii="Arial" w:hAnsi="Arial" w:cs="Arial"/>
                <w:color w:val="000000" w:themeColor="text1"/>
                <w:sz w:val="20"/>
                <w:szCs w:val="20"/>
                <w:lang w:val="en-GB"/>
              </w:rPr>
              <w:t>Literacy and Non-Formal Education Department</w:t>
            </w:r>
          </w:p>
          <w:p w:rsidR="004C4AFA" w:rsidRPr="00551F42" w:rsidRDefault="004C4AFA" w:rsidP="00D33AC6">
            <w:pPr>
              <w:pStyle w:val="PlainText"/>
              <w:rPr>
                <w:rFonts w:ascii="Arial" w:eastAsia="Times New Roman"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Additional Secretary </w:t>
            </w:r>
            <w:r w:rsidRPr="00551F42">
              <w:rPr>
                <w:rFonts w:ascii="Arial" w:hAnsi="Arial" w:cs="Arial"/>
                <w:color w:val="000000" w:themeColor="text1"/>
                <w:sz w:val="20"/>
                <w:szCs w:val="20"/>
                <w:lang w:val="en-GB"/>
              </w:rPr>
              <w:t>Literacy and Non-Formal Education Department</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Secretary </w:t>
            </w:r>
            <w:r w:rsidRPr="00551F42">
              <w:rPr>
                <w:rFonts w:ascii="Arial" w:hAnsi="Arial" w:cs="Arial"/>
                <w:color w:val="000000" w:themeColor="text1"/>
                <w:sz w:val="20"/>
                <w:szCs w:val="20"/>
                <w:lang w:val="en-GB"/>
              </w:rPr>
              <w:t xml:space="preserve">Special Education Department </w:t>
            </w:r>
          </w:p>
          <w:p w:rsidR="004C4AFA" w:rsidRPr="00551F42" w:rsidRDefault="004C4AFA" w:rsidP="00D33AC6">
            <w:pPr>
              <w:pStyle w:val="PlainText"/>
              <w:rPr>
                <w:rFonts w:ascii="Arial" w:hAnsi="Arial" w:cs="Arial"/>
                <w:color w:val="000000" w:themeColor="text1"/>
                <w:sz w:val="20"/>
                <w:szCs w:val="20"/>
                <w:lang w:val="en-GB"/>
              </w:rPr>
            </w:pPr>
            <w:r w:rsidRPr="00551F42">
              <w:rPr>
                <w:rFonts w:ascii="Arial" w:eastAsia="Times New Roman" w:hAnsi="Arial" w:cs="Arial"/>
                <w:color w:val="000000" w:themeColor="text1"/>
                <w:sz w:val="20"/>
                <w:szCs w:val="20"/>
                <w:lang w:val="en-GB"/>
              </w:rPr>
              <w:t xml:space="preserve">Additional Secretary </w:t>
            </w:r>
            <w:r w:rsidRPr="00551F42">
              <w:rPr>
                <w:rFonts w:ascii="Arial" w:hAnsi="Arial" w:cs="Arial"/>
                <w:color w:val="000000" w:themeColor="text1"/>
                <w:sz w:val="20"/>
                <w:szCs w:val="20"/>
                <w:lang w:val="en-GB"/>
              </w:rPr>
              <w:t xml:space="preserve">Special Education Department </w:t>
            </w:r>
          </w:p>
        </w:tc>
        <w:bookmarkStart w:id="3" w:name="_GoBack"/>
        <w:bookmarkEnd w:id="3"/>
      </w:tr>
    </w:tbl>
    <w:p w:rsidR="004C4AFA" w:rsidRPr="00551F42" w:rsidRDefault="004C4AFA" w:rsidP="004C4AFA">
      <w:pPr>
        <w:rPr>
          <w:rFonts w:cs="Arial"/>
          <w:b/>
          <w:color w:val="000000" w:themeColor="text1"/>
        </w:rPr>
      </w:pPr>
      <w:r w:rsidRPr="00551F42">
        <w:rPr>
          <w:rFonts w:cs="Arial"/>
          <w:color w:val="000000" w:themeColor="text1"/>
        </w:rPr>
        <w:t>The text in red are questions adapted from UNCEF SEAH Tool Kit.</w:t>
      </w:r>
    </w:p>
    <w:tbl>
      <w:tblPr>
        <w:tblStyle w:val="TableGridLight1"/>
        <w:tblW w:w="0" w:type="auto"/>
        <w:tblLook w:val="04A0" w:firstRow="1" w:lastRow="0" w:firstColumn="1" w:lastColumn="0" w:noHBand="0" w:noVBand="1"/>
      </w:tblPr>
      <w:tblGrid>
        <w:gridCol w:w="595"/>
        <w:gridCol w:w="3229"/>
        <w:gridCol w:w="4364"/>
      </w:tblGrid>
      <w:tr w:rsidR="004C4AFA" w:rsidRPr="00551F42" w:rsidTr="004C4AFA">
        <w:trPr>
          <w:trHeight w:val="65"/>
        </w:trPr>
        <w:tc>
          <w:tcPr>
            <w:tcW w:w="0" w:type="auto"/>
            <w:gridSpan w:val="3"/>
            <w:shd w:val="clear" w:color="auto" w:fill="D0CECE" w:themeFill="background2" w:themeFillShade="E6"/>
          </w:tcPr>
          <w:p w:rsidR="004C4AFA" w:rsidRPr="00551F42" w:rsidRDefault="004C4AFA" w:rsidP="00D33AC6">
            <w:pPr>
              <w:rPr>
                <w:rFonts w:cs="Arial"/>
                <w:b/>
                <w:bCs/>
                <w:color w:val="000000" w:themeColor="text1"/>
              </w:rPr>
            </w:pPr>
            <w:r w:rsidRPr="00551F42">
              <w:rPr>
                <w:rFonts w:cs="Arial"/>
                <w:b/>
                <w:bCs/>
                <w:color w:val="000000" w:themeColor="text1"/>
              </w:rPr>
              <w:t xml:space="preserve">DEMOGRAPHICS  </w:t>
            </w: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Q01</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Name of Government Department</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 xml:space="preserve"> </w:t>
            </w: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Q02</w:t>
            </w:r>
          </w:p>
        </w:tc>
        <w:tc>
          <w:tcPr>
            <w:tcW w:w="0" w:type="auto"/>
            <w:vAlign w:val="center"/>
          </w:tcPr>
          <w:p w:rsidR="004C4AFA" w:rsidRPr="00551F42" w:rsidRDefault="004C4AFA" w:rsidP="00D33AC6">
            <w:pPr>
              <w:ind w:left="360" w:hanging="360"/>
              <w:rPr>
                <w:rFonts w:cs="Arial"/>
                <w:color w:val="000000" w:themeColor="text1"/>
              </w:rPr>
            </w:pPr>
            <w:r w:rsidRPr="00551F42">
              <w:rPr>
                <w:rFonts w:cs="Arial"/>
                <w:color w:val="000000" w:themeColor="text1"/>
              </w:rPr>
              <w:t>Level of Department</w:t>
            </w:r>
          </w:p>
        </w:tc>
        <w:tc>
          <w:tcPr>
            <w:tcW w:w="0" w:type="auto"/>
            <w:vAlign w:val="center"/>
          </w:tcPr>
          <w:p w:rsidR="004C4AFA" w:rsidRPr="00551F42" w:rsidRDefault="004C4AFA" w:rsidP="00D33AC6">
            <w:pPr>
              <w:rPr>
                <w:rFonts w:cs="Arial"/>
                <w:color w:val="000000" w:themeColor="text1"/>
              </w:rPr>
            </w:pPr>
            <w:proofErr w:type="spellStart"/>
            <w:r w:rsidRPr="00551F42">
              <w:rPr>
                <w:rFonts w:cs="Arial"/>
                <w:color w:val="000000" w:themeColor="text1"/>
              </w:rPr>
              <w:t>Provincial________________________District</w:t>
            </w:r>
            <w:proofErr w:type="spellEnd"/>
          </w:p>
        </w:tc>
      </w:tr>
      <w:tr w:rsidR="004C4AFA" w:rsidRPr="00551F42" w:rsidTr="004C4AFA">
        <w:trPr>
          <w:trHeight w:val="86"/>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 xml:space="preserve">Q03 </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 xml:space="preserve">Name of District </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 xml:space="preserve"> </w:t>
            </w: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Q04</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Name of Respondent</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 xml:space="preserve">Q05 </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Gender of Respondent</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Q06</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Designation of Respondent</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Q07</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Contact Details (mobile +email)</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Q08</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Date of Interview</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Q09</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 xml:space="preserve">Name of Interviewer </w:t>
            </w:r>
          </w:p>
        </w:tc>
        <w:tc>
          <w:tcPr>
            <w:tcW w:w="0" w:type="auto"/>
            <w:vAlign w:val="center"/>
          </w:tcPr>
          <w:p w:rsidR="004C4AFA" w:rsidRPr="00551F42" w:rsidRDefault="004C4AFA" w:rsidP="00D33AC6">
            <w:pPr>
              <w:rPr>
                <w:rFonts w:cs="Arial"/>
                <w:color w:val="000000" w:themeColor="text1"/>
              </w:rPr>
            </w:pPr>
          </w:p>
        </w:tc>
      </w:tr>
      <w:tr w:rsidR="004C4AFA" w:rsidRPr="00551F42" w:rsidTr="004C4AFA">
        <w:trPr>
          <w:trHeight w:val="65"/>
        </w:trPr>
        <w:tc>
          <w:tcPr>
            <w:tcW w:w="0" w:type="auto"/>
            <w:vAlign w:val="center"/>
          </w:tcPr>
          <w:p w:rsidR="004C4AFA" w:rsidRPr="00551F42" w:rsidRDefault="004C4AFA" w:rsidP="00D33AC6">
            <w:pPr>
              <w:rPr>
                <w:rFonts w:cs="Arial"/>
                <w:b/>
                <w:bCs/>
                <w:color w:val="000000" w:themeColor="text1"/>
              </w:rPr>
            </w:pPr>
            <w:r w:rsidRPr="00551F42">
              <w:rPr>
                <w:rFonts w:cs="Arial"/>
                <w:b/>
                <w:bCs/>
                <w:color w:val="000000" w:themeColor="text1"/>
              </w:rPr>
              <w:t>Q10</w:t>
            </w:r>
          </w:p>
        </w:tc>
        <w:tc>
          <w:tcPr>
            <w:tcW w:w="0" w:type="auto"/>
            <w:vAlign w:val="center"/>
          </w:tcPr>
          <w:p w:rsidR="004C4AFA" w:rsidRPr="00551F42" w:rsidRDefault="004C4AFA" w:rsidP="00D33AC6">
            <w:pPr>
              <w:rPr>
                <w:rFonts w:cs="Arial"/>
                <w:color w:val="000000" w:themeColor="text1"/>
              </w:rPr>
            </w:pPr>
            <w:r w:rsidRPr="00551F42">
              <w:rPr>
                <w:rFonts w:cs="Arial"/>
                <w:color w:val="000000" w:themeColor="text1"/>
              </w:rPr>
              <w:t xml:space="preserve">Signature of Interviewer </w:t>
            </w:r>
          </w:p>
        </w:tc>
        <w:tc>
          <w:tcPr>
            <w:tcW w:w="0" w:type="auto"/>
            <w:vAlign w:val="center"/>
          </w:tcPr>
          <w:p w:rsidR="004C4AFA" w:rsidRPr="00551F42" w:rsidRDefault="004C4AFA" w:rsidP="00D33AC6">
            <w:pPr>
              <w:rPr>
                <w:rFonts w:cs="Arial"/>
                <w:color w:val="000000" w:themeColor="text1"/>
              </w:rPr>
            </w:pPr>
          </w:p>
        </w:tc>
      </w:tr>
    </w:tbl>
    <w:p w:rsidR="004C4AFA" w:rsidRPr="00551F42" w:rsidRDefault="004C4AFA" w:rsidP="004C4AFA">
      <w:pPr>
        <w:rPr>
          <w:rFonts w:cs="Arial"/>
          <w:color w:val="000000" w:themeColor="text1"/>
        </w:rPr>
      </w:pPr>
    </w:p>
    <w:tbl>
      <w:tblPr>
        <w:tblStyle w:val="TableGrid"/>
        <w:tblpPr w:leftFromText="180" w:rightFromText="180" w:vertAnchor="text" w:tblpX="-244" w:tblpY="1"/>
        <w:tblOverlap w:val="never"/>
        <w:tblW w:w="0" w:type="auto"/>
        <w:tblLook w:val="04A0" w:firstRow="1" w:lastRow="0" w:firstColumn="1" w:lastColumn="0" w:noHBand="0" w:noVBand="1"/>
      </w:tblPr>
      <w:tblGrid>
        <w:gridCol w:w="697"/>
        <w:gridCol w:w="4852"/>
        <w:gridCol w:w="583"/>
        <w:gridCol w:w="494"/>
        <w:gridCol w:w="572"/>
        <w:gridCol w:w="2152"/>
      </w:tblGrid>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C4AFA" w:rsidRPr="00551F42" w:rsidRDefault="004C4AFA" w:rsidP="00D33AC6">
            <w:pPr>
              <w:pStyle w:val="ListParagraph"/>
              <w:ind w:left="0"/>
              <w:jc w:val="left"/>
              <w:rPr>
                <w:rFonts w:ascii="Arial" w:hAnsi="Arial" w:cs="Arial"/>
                <w:b/>
                <w:bCs/>
                <w:color w:val="000000" w:themeColor="text1"/>
                <w:szCs w:val="20"/>
              </w:rPr>
            </w:pPr>
            <w:r w:rsidRPr="00551F42">
              <w:rPr>
                <w:rFonts w:ascii="Arial" w:hAnsi="Arial" w:cs="Arial"/>
                <w:b/>
                <w:bCs/>
                <w:color w:val="000000" w:themeColor="text1"/>
                <w:szCs w:val="20"/>
              </w:rPr>
              <w:t>Standard 1: Department Policy</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pStyle w:val="ListParagraph"/>
              <w:ind w:left="0"/>
              <w:rPr>
                <w:rFonts w:ascii="Arial" w:hAnsi="Arial" w:cs="Arial"/>
                <w:b/>
                <w:bCs/>
                <w:color w:val="000000" w:themeColor="text1"/>
                <w:szCs w:val="20"/>
              </w:rPr>
            </w:pPr>
            <w:r w:rsidRPr="00551F42">
              <w:rPr>
                <w:rFonts w:ascii="Arial" w:hAnsi="Arial" w:cs="Arial"/>
                <w:b/>
                <w:bCs/>
                <w:color w:val="000000" w:themeColor="text1"/>
                <w:szCs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pStyle w:val="ListParagraph"/>
              <w:ind w:left="0"/>
              <w:rPr>
                <w:rFonts w:ascii="Arial" w:hAnsi="Arial" w:cs="Arial"/>
                <w:b/>
                <w:bCs/>
                <w:color w:val="000000" w:themeColor="text1"/>
                <w:szCs w:val="20"/>
              </w:rPr>
            </w:pPr>
            <w:r w:rsidRPr="00551F42">
              <w:rPr>
                <w:rFonts w:ascii="Arial" w:hAnsi="Arial" w:cs="Arial"/>
                <w:b/>
                <w:bCs/>
                <w:color w:val="000000" w:themeColor="text1"/>
                <w:szCs w:val="20"/>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pStyle w:val="ListParagraph"/>
              <w:ind w:left="0"/>
              <w:rPr>
                <w:rFonts w:ascii="Arial" w:hAnsi="Arial" w:cs="Arial"/>
                <w:b/>
                <w:bCs/>
                <w:color w:val="000000" w:themeColor="text1"/>
                <w:szCs w:val="20"/>
              </w:rPr>
            </w:pPr>
            <w:r w:rsidRPr="00551F42">
              <w:rPr>
                <w:rFonts w:ascii="Arial" w:hAnsi="Arial" w:cs="Arial"/>
                <w:b/>
                <w:bCs/>
                <w:color w:val="000000" w:themeColor="text1"/>
                <w:szCs w:val="20"/>
              </w:rPr>
              <w:t>N/A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pStyle w:val="ListParagraph"/>
              <w:ind w:left="0"/>
              <w:rPr>
                <w:rFonts w:ascii="Arial" w:hAnsi="Arial" w:cs="Arial"/>
                <w:b/>
                <w:bCs/>
                <w:color w:val="000000" w:themeColor="text1"/>
                <w:szCs w:val="20"/>
              </w:rPr>
            </w:pPr>
            <w:r w:rsidRPr="00551F42">
              <w:rPr>
                <w:rFonts w:ascii="Arial" w:hAnsi="Arial" w:cs="Arial"/>
                <w:b/>
                <w:bCs/>
                <w:color w:val="000000" w:themeColor="text1"/>
                <w:szCs w:val="20"/>
              </w:rPr>
              <w:t>Supporting Documents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Does the department have any policy on </w:t>
            </w:r>
            <w:r w:rsidRPr="00551F42">
              <w:rPr>
                <w:rFonts w:ascii="Arial" w:hAnsi="Arial" w:cs="Arial"/>
                <w:color w:val="auto"/>
                <w:szCs w:val="20"/>
              </w:rPr>
              <w:t>PSEAH?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PSEA Policy</w:t>
            </w:r>
          </w:p>
        </w:tc>
      </w:tr>
      <w:tr w:rsidR="004C4AFA" w:rsidRPr="00551F42" w:rsidTr="004C4AFA">
        <w:trPr>
          <w:trHeight w:val="438"/>
        </w:trPr>
        <w:tc>
          <w:tcPr>
            <w:tcW w:w="0" w:type="auto"/>
            <w:tcBorders>
              <w:top w:val="single" w:sz="4" w:space="0" w:color="auto"/>
              <w:left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ind w:left="0"/>
              <w:rPr>
                <w:rFonts w:ascii="Arial" w:hAnsi="Arial" w:cs="Arial"/>
                <w:color w:val="000000" w:themeColor="text1"/>
                <w:szCs w:val="20"/>
              </w:rPr>
            </w:pPr>
            <w:r w:rsidRPr="00551F42">
              <w:rPr>
                <w:rFonts w:ascii="Arial" w:hAnsi="Arial" w:cs="Arial"/>
                <w:color w:val="000000" w:themeColor="text1"/>
                <w:szCs w:val="20"/>
              </w:rPr>
              <w:t>If the department has policy, does it meet the required standards including</w:t>
            </w:r>
            <w:r>
              <w:rPr>
                <w:rFonts w:ascii="Arial" w:hAnsi="Arial" w:cs="Arial"/>
                <w:color w:val="000000" w:themeColor="text1"/>
                <w:szCs w:val="20"/>
              </w:rPr>
              <w: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301"/>
        </w:trPr>
        <w:tc>
          <w:tcPr>
            <w:tcW w:w="0" w:type="auto"/>
            <w:tcBorders>
              <w:left w:val="single" w:sz="4" w:space="0" w:color="auto"/>
              <w:right w:val="single" w:sz="4" w:space="0" w:color="auto"/>
            </w:tcBorders>
          </w:tcPr>
          <w:p w:rsidR="004C4AFA" w:rsidRPr="00551F42" w:rsidRDefault="004C4AFA" w:rsidP="00D33AC6">
            <w:pPr>
              <w:pStyle w:val="ListParagraph"/>
              <w:numPr>
                <w:ilvl w:val="0"/>
                <w:numId w:val="0"/>
              </w:numPr>
              <w:contextualSpacing/>
              <w:jc w:val="left"/>
              <w:rPr>
                <w:rFonts w:ascii="Arial" w:hAnsi="Arial" w:cs="Arial"/>
                <w:bCs/>
                <w:color w:val="000000" w:themeColor="text1"/>
                <w:szCs w:val="20"/>
              </w:rPr>
            </w:pPr>
            <w:r>
              <w:rPr>
                <w:rFonts w:ascii="Arial" w:hAnsi="Arial" w:cs="Arial"/>
                <w:bCs/>
                <w:color w:val="000000" w:themeColor="text1"/>
                <w:szCs w:val="20"/>
              </w:rPr>
              <w:t>2.1.</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Clear policy statement</w:t>
            </w:r>
            <w:r>
              <w:rPr>
                <w:rFonts w:ascii="Arial" w:hAnsi="Arial" w:cs="Arial"/>
                <w:color w:val="000000" w:themeColor="text1"/>
                <w:szCs w:val="20"/>
              </w:rPr>
              <w: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291"/>
        </w:trPr>
        <w:tc>
          <w:tcPr>
            <w:tcW w:w="0" w:type="auto"/>
            <w:tcBorders>
              <w:left w:val="single" w:sz="4" w:space="0" w:color="auto"/>
              <w:right w:val="single" w:sz="4" w:space="0" w:color="auto"/>
            </w:tcBorders>
          </w:tcPr>
          <w:p w:rsidR="004C4AFA" w:rsidRPr="004A26FC" w:rsidRDefault="004C4AFA" w:rsidP="00D33AC6">
            <w:pPr>
              <w:contextualSpacing/>
              <w:rPr>
                <w:rFonts w:cs="Arial"/>
                <w:bCs/>
                <w:color w:val="000000" w:themeColor="text1"/>
              </w:rPr>
            </w:pPr>
            <w:r>
              <w:rPr>
                <w:rFonts w:cs="Arial"/>
                <w:bCs/>
                <w:color w:val="000000" w:themeColor="text1"/>
              </w:rPr>
              <w:t>2.2.</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sidRPr="00C45736">
              <w:rPr>
                <w:rFonts w:cs="Arial"/>
                <w:color w:val="000000" w:themeColor="text1"/>
              </w:rPr>
              <w:t>Clear definitions of SEA &amp; Sexual harassment?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262"/>
        </w:trPr>
        <w:tc>
          <w:tcPr>
            <w:tcW w:w="0" w:type="auto"/>
            <w:vMerge w:val="restart"/>
            <w:tcBorders>
              <w:left w:val="single" w:sz="4" w:space="0" w:color="auto"/>
              <w:right w:val="single" w:sz="4" w:space="0" w:color="auto"/>
            </w:tcBorders>
          </w:tcPr>
          <w:p w:rsidR="004C4AFA" w:rsidRPr="004A26FC" w:rsidRDefault="004C4AFA" w:rsidP="00D33AC6">
            <w:pPr>
              <w:contextualSpacing/>
              <w:rPr>
                <w:rFonts w:cs="Arial"/>
                <w:bCs/>
                <w:color w:val="000000" w:themeColor="text1"/>
              </w:rPr>
            </w:pPr>
            <w:r>
              <w:rPr>
                <w:rFonts w:cs="Arial"/>
                <w:bCs/>
                <w:color w:val="000000" w:themeColor="text1"/>
              </w:rPr>
              <w:t>2.3</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Pr>
                <w:rFonts w:cs="Arial"/>
                <w:color w:val="000000" w:themeColor="text1"/>
              </w:rPr>
              <w:t xml:space="preserve">Clear objectives and </w:t>
            </w:r>
            <w:r w:rsidRPr="00C45736">
              <w:rPr>
                <w:rFonts w:cs="Arial"/>
                <w:color w:val="000000" w:themeColor="text1"/>
              </w:rPr>
              <w:t>Principles</w:t>
            </w:r>
            <w:r>
              <w:rPr>
                <w:rFonts w:cs="Arial"/>
                <w:color w:val="000000" w:themeColor="text1"/>
              </w:rPr>
              <w: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212"/>
        </w:trPr>
        <w:tc>
          <w:tcPr>
            <w:tcW w:w="0" w:type="auto"/>
            <w:vMerge/>
            <w:tcBorders>
              <w:left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Pr>
                <w:rFonts w:cs="Arial"/>
                <w:color w:val="000000" w:themeColor="text1"/>
              </w:rPr>
              <w:t>Clearly mention the prohibited conduct?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204"/>
        </w:trPr>
        <w:tc>
          <w:tcPr>
            <w:tcW w:w="0" w:type="auto"/>
            <w:tcBorders>
              <w:left w:val="single" w:sz="4" w:space="0" w:color="auto"/>
              <w:right w:val="single" w:sz="4" w:space="0" w:color="auto"/>
            </w:tcBorders>
          </w:tcPr>
          <w:p w:rsidR="004C4AFA" w:rsidRPr="00551F42" w:rsidRDefault="004C4AFA" w:rsidP="00D33AC6">
            <w:pPr>
              <w:pStyle w:val="ListParagraph"/>
              <w:numPr>
                <w:ilvl w:val="0"/>
                <w:numId w:val="0"/>
              </w:numPr>
              <w:contextualSpacing/>
              <w:jc w:val="left"/>
              <w:rPr>
                <w:rFonts w:ascii="Arial" w:hAnsi="Arial" w:cs="Arial"/>
                <w:bCs/>
                <w:color w:val="000000" w:themeColor="text1"/>
                <w:szCs w:val="20"/>
              </w:rPr>
            </w:pPr>
            <w:r>
              <w:rPr>
                <w:rFonts w:ascii="Arial" w:hAnsi="Arial" w:cs="Arial"/>
                <w:bCs/>
                <w:color w:val="000000" w:themeColor="text1"/>
                <w:szCs w:val="20"/>
              </w:rPr>
              <w:t>2.4</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sidRPr="00C45736">
              <w:rPr>
                <w:rFonts w:cs="Arial"/>
                <w:color w:val="000000" w:themeColor="text1"/>
              </w:rPr>
              <w:t xml:space="preserve"> </w:t>
            </w:r>
            <w:r>
              <w:rPr>
                <w:rFonts w:cs="Arial"/>
                <w:color w:val="000000" w:themeColor="text1"/>
              </w:rPr>
              <w:t>M</w:t>
            </w:r>
            <w:r w:rsidRPr="00C45736">
              <w:rPr>
                <w:rFonts w:cs="Arial"/>
                <w:color w:val="000000" w:themeColor="text1"/>
              </w:rPr>
              <w:t>echanisms put in place for</w:t>
            </w:r>
            <w:r>
              <w:rPr>
                <w:rFonts w:cs="Arial"/>
                <w:color w:val="000000" w:themeColor="text1"/>
              </w:rPr>
              <w:t xml:space="preserve"> employees to report misconduct?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451"/>
        </w:trPr>
        <w:tc>
          <w:tcPr>
            <w:tcW w:w="0" w:type="auto"/>
            <w:tcBorders>
              <w:left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2.5</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sidRPr="00C45736">
              <w:rPr>
                <w:rFonts w:cs="Arial"/>
                <w:color w:val="000000" w:themeColor="text1"/>
              </w:rPr>
              <w:t>The policy  clearly mention to protect the employees from abuse</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573"/>
        </w:trPr>
        <w:tc>
          <w:tcPr>
            <w:tcW w:w="0" w:type="auto"/>
            <w:tcBorders>
              <w:left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2.6</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Pr>
                <w:rFonts w:cs="Arial"/>
                <w:color w:val="000000" w:themeColor="text1"/>
              </w:rPr>
              <w:t xml:space="preserve">Clear code of conduct and services for </w:t>
            </w:r>
            <w:r w:rsidRPr="00C45736">
              <w:rPr>
                <w:rFonts w:cs="Arial"/>
                <w:color w:val="000000" w:themeColor="text1"/>
              </w:rPr>
              <w:t xml:space="preserve">community members </w:t>
            </w:r>
            <w:r>
              <w:rPr>
                <w:rFonts w:cs="Arial"/>
                <w:color w:val="000000" w:themeColor="text1"/>
              </w:rPr>
              <w:t>engaged with the department?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438"/>
        </w:trPr>
        <w:tc>
          <w:tcPr>
            <w:tcW w:w="0" w:type="auto"/>
            <w:tcBorders>
              <w:left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2.7</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Pr>
                <w:rFonts w:cs="Arial"/>
                <w:color w:val="000000" w:themeColor="text1"/>
              </w:rPr>
              <w:t xml:space="preserve">Clear Reporting mechanism for community members engaged with department?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488"/>
        </w:trPr>
        <w:tc>
          <w:tcPr>
            <w:tcW w:w="0" w:type="auto"/>
            <w:tcBorders>
              <w:left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2.8</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sidRPr="00C45736">
              <w:rPr>
                <w:rFonts w:cs="Arial"/>
                <w:color w:val="000000" w:themeColor="text1"/>
              </w:rPr>
              <w:t>Clearly mention how employees will be protected from abuse</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rPr>
          <w:trHeight w:val="456"/>
        </w:trPr>
        <w:tc>
          <w:tcPr>
            <w:tcW w:w="0" w:type="auto"/>
            <w:tcBorders>
              <w:left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2.9</w:t>
            </w:r>
          </w:p>
        </w:tc>
        <w:tc>
          <w:tcPr>
            <w:tcW w:w="0" w:type="auto"/>
            <w:tcBorders>
              <w:top w:val="single" w:sz="4" w:space="0" w:color="auto"/>
              <w:left w:val="single" w:sz="4" w:space="0" w:color="auto"/>
              <w:bottom w:val="single" w:sz="4" w:space="0" w:color="auto"/>
              <w:right w:val="single" w:sz="4" w:space="0" w:color="auto"/>
            </w:tcBorders>
          </w:tcPr>
          <w:p w:rsidR="004C4AFA" w:rsidRPr="00C45736" w:rsidRDefault="004C4AFA" w:rsidP="00D33AC6">
            <w:pPr>
              <w:rPr>
                <w:rFonts w:cs="Arial"/>
                <w:color w:val="000000" w:themeColor="text1"/>
              </w:rPr>
            </w:pPr>
            <w:r w:rsidRPr="00C45736">
              <w:rPr>
                <w:rFonts w:cs="Arial"/>
                <w:color w:val="000000" w:themeColor="text1"/>
              </w:rPr>
              <w:t xml:space="preserve">Clearly mentions the penalties from the perpetrators and investigations system.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4A26FC" w:rsidRDefault="004C4AFA" w:rsidP="00D33AC6">
            <w:pPr>
              <w:ind w:left="90"/>
              <w:contextualSpacing/>
              <w:rPr>
                <w:rFonts w:cs="Arial"/>
                <w:bCs/>
                <w:color w:val="000000" w:themeColor="text1"/>
              </w:rPr>
            </w:pPr>
            <w:r>
              <w:rPr>
                <w:rFonts w:cs="Arial"/>
                <w:bCs/>
                <w:color w:val="000000" w:themeColor="text1"/>
              </w:rPr>
              <w:t>2.10</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If yes, what measures has the department taken to roll out implementation of the policy?</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Does the department have any code of conduct and is it mandatory all employees, consultants, contractors, partners and vendors to sign it?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Code of Conduct</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If yes; how often they sign the code of conduct?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Signed Code of Conduct</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rPr>
              <w:t>Is it just once when getting employed by the department?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Does the department have any code of conduct/Policy for PSEAH for schools?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PSEA Policy for Schools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What is the content of the code of conduct?</w:t>
            </w:r>
            <w:r w:rsidRPr="00551F42">
              <w:rPr>
                <w:rStyle w:val="FootnoteReference"/>
                <w:rFonts w:ascii="Arial" w:hAnsi="Arial" w:cs="Arial"/>
                <w:color w:val="000000" w:themeColor="text1"/>
                <w:szCs w:val="20"/>
              </w:rPr>
              <w:footnoteReference w:id="1"/>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Are there systems for keeping employees, consultants, partners, vendors and contractors aware and compliant about the policy?</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SoP</w:t>
            </w:r>
            <w:proofErr w:type="spellEnd"/>
            <w:r w:rsidRPr="00551F42">
              <w:rPr>
                <w:rFonts w:ascii="Arial" w:hAnsi="Arial" w:cs="Arial"/>
                <w:color w:val="000000" w:themeColor="text1"/>
                <w:szCs w:val="20"/>
              </w:rPr>
              <w:t xml:space="preserve"> for awareness raising and compliance</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color w:val="000000" w:themeColor="text1"/>
              </w:rPr>
            </w:pPr>
            <w:r w:rsidRPr="00551F42">
              <w:rPr>
                <w:rFonts w:cs="Arial"/>
                <w:b/>
                <w:bCs/>
                <w:color w:val="000000" w:themeColor="text1"/>
              </w:rPr>
              <w:t xml:space="preserve">Standard 2: </w:t>
            </w:r>
            <w:r w:rsidRPr="00551F42">
              <w:rPr>
                <w:rFonts w:cs="Arial"/>
                <w:b/>
                <w:color w:val="000000" w:themeColor="text1"/>
              </w:rPr>
              <w:t>Departmental Management</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Are there any Standard Operating Procedure (</w:t>
            </w:r>
            <w:proofErr w:type="spellStart"/>
            <w:r w:rsidRPr="00551F42">
              <w:rPr>
                <w:rFonts w:ascii="Arial" w:hAnsi="Arial" w:cs="Arial"/>
                <w:color w:val="000000" w:themeColor="text1"/>
                <w:szCs w:val="20"/>
              </w:rPr>
              <w:t>SoP</w:t>
            </w:r>
            <w:proofErr w:type="spellEnd"/>
            <w:r w:rsidRPr="00551F42">
              <w:rPr>
                <w:rFonts w:ascii="Arial" w:hAnsi="Arial" w:cs="Arial"/>
                <w:color w:val="000000" w:themeColor="text1"/>
                <w:szCs w:val="20"/>
              </w:rPr>
              <w:t>) for policy implementation?</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SoP</w:t>
            </w:r>
            <w:proofErr w:type="spellEnd"/>
            <w:r w:rsidRPr="00551F42">
              <w:rPr>
                <w:rFonts w:ascii="Arial" w:hAnsi="Arial" w:cs="Arial"/>
                <w:color w:val="000000" w:themeColor="text1"/>
                <w:szCs w:val="20"/>
              </w:rPr>
              <w:t xml:space="preserve"> </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jc w:val="left"/>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 contracts of vendors, contractors and partners include a clause on requiring sub-contractors to adopt policies that prohibit SEAH and to take measures to prevent and respond to 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Sample contracts </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color w:val="000000" w:themeColor="text1"/>
              </w:rPr>
            </w:pPr>
            <w:r w:rsidRPr="00551F42">
              <w:rPr>
                <w:rFonts w:cs="Arial"/>
                <w:b/>
                <w:bCs/>
                <w:color w:val="000000" w:themeColor="text1"/>
              </w:rPr>
              <w:t xml:space="preserve">Standard 3: </w:t>
            </w:r>
            <w:r w:rsidRPr="00551F42">
              <w:rPr>
                <w:rFonts w:cs="Arial"/>
                <w:b/>
                <w:color w:val="000000" w:themeColor="text1"/>
              </w:rPr>
              <w:t>Human Resource System</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Does the department have any policy to check person’s background check or police criminal </w:t>
            </w:r>
            <w:proofErr w:type="gramStart"/>
            <w:r w:rsidRPr="00551F42">
              <w:rPr>
                <w:rFonts w:ascii="Arial" w:hAnsi="Arial" w:cs="Arial"/>
                <w:color w:val="000000" w:themeColor="text1"/>
                <w:szCs w:val="20"/>
              </w:rPr>
              <w:t>checks  for</w:t>
            </w:r>
            <w:proofErr w:type="gramEnd"/>
            <w:r w:rsidRPr="00551F42">
              <w:rPr>
                <w:rFonts w:ascii="Arial" w:hAnsi="Arial" w:cs="Arial"/>
                <w:color w:val="000000" w:themeColor="text1"/>
                <w:szCs w:val="20"/>
              </w:rPr>
              <w:t xml:space="preserve"> SEAH before hiring?</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SoP</w:t>
            </w:r>
            <w:proofErr w:type="spellEnd"/>
            <w:r w:rsidRPr="00551F42">
              <w:rPr>
                <w:rFonts w:ascii="Arial" w:hAnsi="Arial" w:cs="Arial"/>
                <w:color w:val="000000" w:themeColor="text1"/>
                <w:szCs w:val="20"/>
              </w:rPr>
              <w:t xml:space="preserve"> for background check</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Does the department have a procedure for background check of consultants, partners, vendors, contractors and partners for 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SoP</w:t>
            </w:r>
            <w:proofErr w:type="spellEnd"/>
            <w:r w:rsidRPr="00551F42">
              <w:rPr>
                <w:rFonts w:ascii="Arial" w:hAnsi="Arial" w:cs="Arial"/>
                <w:color w:val="000000" w:themeColor="text1"/>
                <w:szCs w:val="20"/>
              </w:rPr>
              <w:t xml:space="preserve"> for background check of  consultants, vendors, contractors and partners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Does department ensure undertaking or declaration from its employees for declaring their past conducts about 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Format for undertaking or declaration </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Are SEAH clauses included in employees and consultant contracts?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Sample contract</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At student’s level, does the department have any preventive measures for SEAH especially in relation to students support scheme (cash scholarships handling, uniforms, supplies and examination fees provision) etc.?</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Guidelines for Checks</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color w:val="000000" w:themeColor="text1"/>
              </w:rPr>
            </w:pPr>
            <w:r w:rsidRPr="00551F42">
              <w:rPr>
                <w:rFonts w:cs="Arial"/>
                <w:b/>
                <w:bCs/>
                <w:color w:val="000000" w:themeColor="text1"/>
              </w:rPr>
              <w:t xml:space="preserve">Standard 4: </w:t>
            </w:r>
            <w:r w:rsidRPr="00551F42">
              <w:rPr>
                <w:rFonts w:cs="Arial"/>
                <w:b/>
                <w:color w:val="000000" w:themeColor="text1"/>
              </w:rPr>
              <w:t>Mandatory Training</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Does</w:t>
            </w:r>
            <w:r w:rsidRPr="00551F42">
              <w:rPr>
                <w:rFonts w:ascii="Arial" w:hAnsi="Arial" w:cs="Arial"/>
              </w:rPr>
              <w:t xml:space="preserve"> PSEA has been integrated in teacher </w:t>
            </w:r>
            <w:r w:rsidRPr="00551F42">
              <w:rPr>
                <w:rFonts w:ascii="Arial" w:hAnsi="Arial" w:cs="Arial"/>
              </w:rPr>
              <w:t>training?</w:t>
            </w:r>
            <w:r w:rsidRPr="00551F42">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Teachers Training Manual</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Is capacity building/awareness raising on SEAH a part of mandatory annual trainings for all its employees, consultants, vendors, contractors and partners working at different levels and entities in the department at headquarter, district Union councils and </w:t>
            </w:r>
            <w:proofErr w:type="spellStart"/>
            <w:r w:rsidRPr="00551F42">
              <w:rPr>
                <w:rFonts w:ascii="Arial" w:hAnsi="Arial" w:cs="Arial"/>
                <w:color w:val="000000" w:themeColor="text1"/>
                <w:szCs w:val="20"/>
              </w:rPr>
              <w:t>Markaz</w:t>
            </w:r>
            <w:proofErr w:type="spellEnd"/>
            <w:r w:rsidRPr="00551F42">
              <w:rPr>
                <w:rFonts w:ascii="Arial" w:hAnsi="Arial" w:cs="Arial"/>
                <w:color w:val="000000" w:themeColor="text1"/>
                <w:szCs w:val="20"/>
              </w:rPr>
              <w:t xml:space="preserve"> level</w:t>
            </w:r>
            <w:r w:rsidRPr="00551F42">
              <w:rPr>
                <w:rStyle w:val="FootnoteReference"/>
                <w:rFonts w:ascii="Arial" w:hAnsi="Arial" w:cs="Arial"/>
                <w:color w:val="000000" w:themeColor="text1"/>
                <w:szCs w:val="20"/>
              </w:rPr>
              <w:footnoteReference w:id="2"/>
            </w:r>
            <w:r w:rsidRPr="00551F42">
              <w:rPr>
                <w:rFonts w:ascii="Arial" w:hAnsi="Arial" w:cs="Arial"/>
                <w:color w:val="000000" w:themeColor="text1"/>
                <w:szCs w:val="20"/>
              </w:rPr>
              <w: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Training module and certification system</w:t>
            </w:r>
          </w:p>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Ploicy</w:t>
            </w:r>
            <w:proofErr w:type="spellEnd"/>
            <w:r w:rsidRPr="00551F42">
              <w:rPr>
                <w:rFonts w:ascii="Arial" w:hAnsi="Arial" w:cs="Arial"/>
                <w:color w:val="000000" w:themeColor="text1"/>
                <w:szCs w:val="20"/>
              </w:rPr>
              <w:t xml:space="preserve"> making SEAH training mandatory </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If trainings are available; is the contents same for all levels?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Training Module</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Are there SEAH related content available in children text books to safeguard themselves?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Text books</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ind w:left="360" w:hanging="360"/>
              <w:rPr>
                <w:rFonts w:cs="Arial"/>
                <w:color w:val="000000" w:themeColor="text1"/>
              </w:rPr>
            </w:pPr>
            <w:r w:rsidRPr="00551F42">
              <w:rPr>
                <w:rFonts w:cs="Arial"/>
                <w:b/>
                <w:bCs/>
                <w:color w:val="000000" w:themeColor="text1"/>
              </w:rPr>
              <w:t>Standard 5: Reporting</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ind w:left="360" w:hanging="360"/>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ind w:left="360" w:hanging="360"/>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ind w:left="360" w:hanging="360"/>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ind w:left="360" w:hanging="360"/>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Does the department have any internal complaints and feedback mechanism for 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Focal point, designated email and phone number</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Are there any guidelines for reporting for employees, consultants, vendors, contractors, partners and communities including children and adolescents available in the department?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Reporting guidelines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Has the department developed any communication materials for sensitizing employees on PSEAH?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Communication materials (IEC materials bearing the reporting mechanisms)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lang w:val="en-GB"/>
              </w:rPr>
            </w:pPr>
            <w:r w:rsidRPr="00551F42">
              <w:rPr>
                <w:rFonts w:cs="Arial"/>
                <w:color w:val="000000" w:themeColor="text1"/>
                <w:lang w:val="en-GB"/>
              </w:rPr>
              <w:t xml:space="preserve">Is there a system for conducting orientation of </w:t>
            </w:r>
            <w:r w:rsidRPr="00551F42">
              <w:rPr>
                <w:rFonts w:cs="Arial"/>
                <w:color w:val="000000" w:themeColor="text1"/>
              </w:rPr>
              <w:t>employees, consultants, vendors, contractors, partners and communities including children and adolescents by the department?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lang w:val="en-GB"/>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lang w:val="en-GB"/>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lang w:val="en-GB"/>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4C4AFA">
            <w:pPr>
              <w:pStyle w:val="ListParagraph"/>
              <w:numPr>
                <w:ilvl w:val="0"/>
                <w:numId w:val="3"/>
              </w:numPr>
              <w:contextualSpacing/>
              <w:rPr>
                <w:rFonts w:ascii="Arial" w:hAnsi="Arial" w:cs="Arial"/>
                <w:color w:val="000000" w:themeColor="text1"/>
              </w:rPr>
            </w:pPr>
            <w:r w:rsidRPr="00551F42">
              <w:rPr>
                <w:rFonts w:ascii="Arial" w:hAnsi="Arial" w:cs="Arial"/>
                <w:color w:val="000000" w:themeColor="text1"/>
              </w:rPr>
              <w:t>Orientation materials</w:t>
            </w:r>
          </w:p>
          <w:p w:rsidR="004C4AFA" w:rsidRPr="00551F42" w:rsidRDefault="004C4AFA" w:rsidP="004C4AFA">
            <w:pPr>
              <w:pStyle w:val="ListParagraph"/>
              <w:numPr>
                <w:ilvl w:val="0"/>
                <w:numId w:val="3"/>
              </w:numPr>
              <w:contextualSpacing/>
              <w:rPr>
                <w:rFonts w:ascii="Arial" w:hAnsi="Arial" w:cs="Arial"/>
                <w:color w:val="000000" w:themeColor="text1"/>
              </w:rPr>
            </w:pPr>
            <w:r w:rsidRPr="00551F42">
              <w:rPr>
                <w:rFonts w:ascii="Arial" w:hAnsi="Arial" w:cs="Arial"/>
                <w:color w:val="000000" w:themeColor="text1"/>
              </w:rPr>
              <w:t>Training reports</w:t>
            </w:r>
          </w:p>
          <w:p w:rsidR="004C4AFA" w:rsidRPr="00551F42" w:rsidRDefault="004C4AFA" w:rsidP="004C4AFA">
            <w:pPr>
              <w:pStyle w:val="ListParagraph"/>
              <w:numPr>
                <w:ilvl w:val="0"/>
                <w:numId w:val="3"/>
              </w:numPr>
              <w:contextualSpacing/>
              <w:rPr>
                <w:rFonts w:ascii="Arial" w:hAnsi="Arial" w:cs="Arial"/>
                <w:color w:val="000000" w:themeColor="text1"/>
              </w:rPr>
            </w:pPr>
            <w:r w:rsidRPr="00551F42">
              <w:rPr>
                <w:rFonts w:ascii="Arial" w:hAnsi="Arial" w:cs="Arial"/>
                <w:color w:val="000000" w:themeColor="text1"/>
              </w:rPr>
              <w:t>Attendance sheets</w:t>
            </w:r>
          </w:p>
          <w:p w:rsidR="004C4AFA" w:rsidRPr="00551F42" w:rsidRDefault="004C4AFA" w:rsidP="004C4AFA">
            <w:pPr>
              <w:pStyle w:val="ListParagraph"/>
              <w:numPr>
                <w:ilvl w:val="0"/>
                <w:numId w:val="3"/>
              </w:numPr>
              <w:contextualSpacing/>
              <w:rPr>
                <w:rFonts w:ascii="Arial" w:hAnsi="Arial" w:cs="Arial"/>
                <w:color w:val="000000" w:themeColor="text1"/>
              </w:rPr>
            </w:pPr>
            <w:r w:rsidRPr="00551F42">
              <w:rPr>
                <w:rFonts w:ascii="Arial" w:hAnsi="Arial" w:cs="Arial"/>
                <w:color w:val="000000" w:themeColor="text1"/>
              </w:rPr>
              <w:t>Pictures</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color w:val="000000" w:themeColor="text1"/>
              </w:rPr>
            </w:pPr>
            <w:r w:rsidRPr="00551F42">
              <w:rPr>
                <w:rFonts w:cs="Arial"/>
                <w:b/>
                <w:bCs/>
                <w:color w:val="000000" w:themeColor="text1"/>
              </w:rPr>
              <w:t xml:space="preserve">Standard 6: </w:t>
            </w:r>
            <w:r w:rsidRPr="00551F42">
              <w:rPr>
                <w:rFonts w:cs="Arial"/>
                <w:b/>
                <w:color w:val="000000" w:themeColor="text1"/>
              </w:rPr>
              <w:t>Assistance and Referrals</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In case of any incident of SEAH to employees, consultants, vendors, contractors, partners and communities including children and adolescents; is there a system to facilitate provision of assistance to </w:t>
            </w:r>
            <w:r w:rsidRPr="00551F42">
              <w:rPr>
                <w:rFonts w:ascii="Arial" w:hAnsi="Arial" w:cs="Arial"/>
                <w:color w:val="000000" w:themeColor="text1"/>
                <w:szCs w:val="20"/>
              </w:rPr>
              <w:t>survivors?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Support Services</w:t>
            </w:r>
          </w:p>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Medical, rehabilitation, counselling</w:t>
            </w:r>
          </w:p>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Referral mechanism </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CommentText"/>
              <w:rPr>
                <w:rFonts w:cs="Arial"/>
              </w:rPr>
            </w:pPr>
            <w:r w:rsidRPr="00551F42">
              <w:rPr>
                <w:rFonts w:cs="Arial"/>
              </w:rPr>
              <w:t>If yes, do they have  document/written list of service providers and their contacts</w:t>
            </w:r>
          </w:p>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Contacts list of service Providers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Are there any clear guidelines (written SOPs document) to assist the survivors of SEAH at department level?</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Guidelines</w:t>
            </w:r>
          </w:p>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written SOPs document</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What is the time frame for the processing of SEAH allegation?</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Time - frame</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Does the department maintain a list of assistance and referrals provided to survivors?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Updated list of provided assistance</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 xml:space="preserve">Are there designated </w:t>
            </w:r>
            <w:r w:rsidRPr="00551F42">
              <w:rPr>
                <w:rFonts w:ascii="Arial" w:hAnsi="Arial" w:cs="Arial"/>
                <w:color w:val="000000" w:themeColor="text1"/>
                <w:szCs w:val="20"/>
              </w:rPr>
              <w:t>trained staff</w:t>
            </w:r>
            <w:r w:rsidRPr="00551F42">
              <w:rPr>
                <w:rFonts w:ascii="Arial" w:hAnsi="Arial" w:cs="Arial"/>
                <w:color w:val="000000" w:themeColor="text1"/>
                <w:szCs w:val="20"/>
              </w:rPr>
              <w:t xml:space="preserve"> available to </w:t>
            </w:r>
            <w:r w:rsidRPr="00551F42">
              <w:rPr>
                <w:rFonts w:ascii="Arial" w:hAnsi="Arial" w:cs="Arial"/>
                <w:color w:val="000000" w:themeColor="text1"/>
                <w:szCs w:val="20"/>
              </w:rPr>
              <w:t>provide support</w:t>
            </w:r>
            <w:r w:rsidRPr="00551F42">
              <w:rPr>
                <w:rFonts w:ascii="Arial" w:hAnsi="Arial" w:cs="Arial"/>
                <w:color w:val="000000" w:themeColor="text1"/>
                <w:szCs w:val="20"/>
              </w:rPr>
              <w:t xml:space="preserve"> services to SEAH survivors?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0"/>
              </w:numPr>
              <w:rPr>
                <w:rFonts w:ascii="Arial" w:hAnsi="Arial" w:cs="Arial"/>
                <w:color w:val="000000" w:themeColor="text1"/>
                <w:szCs w:val="20"/>
              </w:rPr>
            </w:pPr>
            <w:r w:rsidRPr="00551F42">
              <w:rPr>
                <w:rFonts w:ascii="Arial" w:hAnsi="Arial" w:cs="Arial"/>
                <w:color w:val="000000" w:themeColor="text1"/>
                <w:szCs w:val="20"/>
              </w:rPr>
              <w:t>Qualifications for extending support services</w:t>
            </w:r>
          </w:p>
          <w:p w:rsidR="004C4AFA" w:rsidRPr="00551F42" w:rsidRDefault="004C4AFA" w:rsidP="00D33AC6">
            <w:pPr>
              <w:pStyle w:val="ListParagraph"/>
              <w:numPr>
                <w:ilvl w:val="0"/>
                <w:numId w:val="0"/>
              </w:numPr>
              <w:rPr>
                <w:rFonts w:ascii="Arial" w:hAnsi="Arial" w:cs="Arial"/>
                <w:color w:val="000000" w:themeColor="text1"/>
                <w:szCs w:val="20"/>
              </w:rPr>
            </w:pPr>
            <w:proofErr w:type="spellStart"/>
            <w:r w:rsidRPr="00551F42">
              <w:rPr>
                <w:rFonts w:ascii="Arial" w:hAnsi="Arial" w:cs="Arial"/>
                <w:color w:val="000000" w:themeColor="text1"/>
                <w:szCs w:val="20"/>
              </w:rPr>
              <w:t>Liss</w:t>
            </w:r>
            <w:proofErr w:type="spellEnd"/>
            <w:r w:rsidRPr="00551F42">
              <w:rPr>
                <w:rFonts w:ascii="Arial" w:hAnsi="Arial" w:cs="Arial"/>
                <w:color w:val="000000" w:themeColor="text1"/>
                <w:szCs w:val="20"/>
              </w:rPr>
              <w:t xml:space="preserve"> of designated and trained staff</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color w:val="000000" w:themeColor="text1"/>
              </w:rPr>
            </w:pPr>
            <w:r w:rsidRPr="00551F42">
              <w:rPr>
                <w:rFonts w:cs="Arial"/>
                <w:b/>
                <w:bCs/>
                <w:color w:val="000000" w:themeColor="text1"/>
              </w:rPr>
              <w:t xml:space="preserve">Standard 7: </w:t>
            </w:r>
            <w:r w:rsidRPr="00551F42">
              <w:rPr>
                <w:rFonts w:cs="Arial"/>
                <w:b/>
                <w:color w:val="000000" w:themeColor="text1"/>
              </w:rPr>
              <w:t>Investigations</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r w:rsidRPr="00551F42">
              <w:rPr>
                <w:rFonts w:cs="Arial"/>
                <w:color w:val="000000" w:themeColor="text1"/>
              </w:rPr>
              <w:t>Does the department have any investigation policy for 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r w:rsidRPr="00551F42">
              <w:rPr>
                <w:rFonts w:cs="Arial"/>
                <w:color w:val="000000" w:themeColor="text1"/>
              </w:rPr>
              <w:t>Policy</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jc w:val="both"/>
              <w:rPr>
                <w:rFonts w:cs="Arial"/>
                <w:color w:val="000000" w:themeColor="text1"/>
              </w:rPr>
            </w:pPr>
            <w:r w:rsidRPr="00551F42">
              <w:rPr>
                <w:rFonts w:cs="Arial"/>
                <w:color w:val="000000" w:themeColor="text1"/>
              </w:rPr>
              <w:t>Is there standard operating procedures or guidelines for</w:t>
            </w:r>
            <w:r>
              <w:rPr>
                <w:rFonts w:cs="Arial"/>
                <w:color w:val="000000" w:themeColor="text1"/>
              </w:rPr>
              <w:t xml:space="preserve"> </w:t>
            </w:r>
            <w:r w:rsidRPr="00551F42">
              <w:rPr>
                <w:rFonts w:cs="Arial"/>
                <w:color w:val="000000" w:themeColor="text1"/>
              </w:rPr>
              <w:t xml:space="preserve">investigation </w:t>
            </w:r>
            <w:r>
              <w:rPr>
                <w:rFonts w:cs="Arial"/>
                <w:color w:val="000000" w:themeColor="text1"/>
              </w:rPr>
              <w:t xml:space="preserve">of </w:t>
            </w:r>
            <w:r w:rsidRPr="00551F42">
              <w:rPr>
                <w:rFonts w:cs="Arial"/>
                <w:color w:val="000000" w:themeColor="text1"/>
              </w:rPr>
              <w:t>SEAH?</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ind w:left="360" w:hanging="360"/>
              <w:contextualSpacing/>
              <w:rPr>
                <w:rFonts w:cs="Arial"/>
                <w:color w:val="000000" w:themeColor="text1"/>
              </w:rPr>
            </w:pPr>
            <w:proofErr w:type="spellStart"/>
            <w:r w:rsidRPr="00551F42">
              <w:rPr>
                <w:rFonts w:cs="Arial"/>
                <w:color w:val="000000" w:themeColor="text1"/>
              </w:rPr>
              <w:t>SoP</w:t>
            </w:r>
            <w:proofErr w:type="spellEnd"/>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Is there any designated focal point or entity for investigation of SEAH cases?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Name of entity</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Have the department ensured that staff responsible for PSEAH investigation get trained in this area?</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If yes ask for evidence.</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Is there a system for keeping employees, consultants, vendors, contractors, partners and communities including children and adolescents aware of the investigation policy?</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contextualSpacing/>
              <w:rPr>
                <w:rFonts w:cs="Arial"/>
                <w:color w:val="000000" w:themeColor="text1"/>
              </w:rPr>
            </w:pPr>
            <w:r w:rsidRPr="00551F42">
              <w:rPr>
                <w:rFonts w:cs="Arial"/>
                <w:color w:val="000000" w:themeColor="text1"/>
              </w:rPr>
              <w:t>Communication System</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b/>
                <w:color w:val="000000" w:themeColor="text1"/>
              </w:rPr>
              <w:lastRenderedPageBreak/>
              <w:t>Standard 8: Corrective Actions</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 xml:space="preserve">Were there any SEAH cases in the past? </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List of reported cases</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If there were any SEAH cases in the past, were corrective actions undertaken by the department?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List of changes made</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TableParagraph"/>
              <w:tabs>
                <w:tab w:val="left" w:pos="0"/>
              </w:tabs>
              <w:jc w:val="both"/>
              <w:rPr>
                <w:rFonts w:ascii="Arial" w:hAnsi="Arial" w:cs="Arial"/>
                <w:color w:val="000000" w:themeColor="text1"/>
                <w:sz w:val="20"/>
                <w:szCs w:val="20"/>
                <w:lang w:eastAsia="en-GB"/>
              </w:rPr>
            </w:pPr>
            <w:r w:rsidRPr="00551F42">
              <w:rPr>
                <w:rFonts w:ascii="Arial" w:hAnsi="Arial" w:cs="Arial"/>
                <w:color w:val="000000" w:themeColor="text1"/>
                <w:sz w:val="20"/>
                <w:szCs w:val="20"/>
                <w:lang w:eastAsia="en-GB"/>
              </w:rPr>
              <w:t>Does the department have a guideline for disciplinary actions for staff/consultants/contractors proven to have indulged in SEAH?</w:t>
            </w:r>
          </w:p>
          <w:p w:rsidR="004C4AFA" w:rsidRPr="00551F42" w:rsidRDefault="004C4AFA" w:rsidP="00D33AC6">
            <w:pPr>
              <w:pStyle w:val="TableParagraph"/>
              <w:ind w:left="360"/>
              <w:jc w:val="both"/>
              <w:rPr>
                <w:rFonts w:ascii="Arial" w:hAnsi="Arial" w:cs="Arial"/>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Guideline for disciplinary action</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TableParagraph"/>
              <w:tabs>
                <w:tab w:val="left" w:pos="0"/>
              </w:tabs>
              <w:jc w:val="both"/>
              <w:rPr>
                <w:rFonts w:ascii="Arial" w:hAnsi="Arial" w:cs="Arial"/>
                <w:color w:val="000000" w:themeColor="text1"/>
                <w:sz w:val="20"/>
                <w:szCs w:val="20"/>
                <w:lang w:eastAsia="en-GB"/>
              </w:rPr>
            </w:pPr>
            <w:r w:rsidRPr="00551F42">
              <w:rPr>
                <w:rFonts w:ascii="Arial" w:hAnsi="Arial" w:cs="Arial"/>
                <w:color w:val="000000" w:themeColor="text1"/>
                <w:sz w:val="20"/>
                <w:szCs w:val="20"/>
                <w:lang w:eastAsia="en-GB"/>
              </w:rPr>
              <w:t>Does the department have a whistle blower protection policy to ensure that those who report allegations are protected from retaliation?</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If yes, ask for evidence, a copy of the whistle blower protection policy</w:t>
            </w: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TableParagraph"/>
              <w:widowControl w:val="0"/>
              <w:jc w:val="both"/>
              <w:rPr>
                <w:rFonts w:ascii="Arial" w:hAnsi="Arial" w:cs="Arial"/>
                <w:color w:val="000000" w:themeColor="text1"/>
                <w:sz w:val="20"/>
                <w:szCs w:val="20"/>
                <w:lang w:eastAsia="en-GB"/>
              </w:rPr>
            </w:pPr>
            <w:r w:rsidRPr="00551F42">
              <w:rPr>
                <w:rFonts w:ascii="Arial" w:hAnsi="Arial" w:cs="Arial"/>
                <w:color w:val="000000" w:themeColor="text1"/>
                <w:sz w:val="20"/>
                <w:szCs w:val="20"/>
                <w:lang w:eastAsia="en-GB"/>
              </w:rPr>
              <w:t>Does the department have procedures to report SEA/SH allegations internally for case accountability ensuring the anonymity of the person reporting a SEA/SH case?</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Guidelines</w:t>
            </w:r>
          </w:p>
        </w:tc>
      </w:tr>
      <w:tr w:rsidR="004C4AFA" w:rsidRPr="00551F42" w:rsidTr="004C4AFA">
        <w:tc>
          <w:tcPr>
            <w:tcW w:w="0" w:type="auto"/>
            <w:gridSpan w:val="2"/>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bCs/>
                <w:color w:val="000000" w:themeColor="text1"/>
              </w:rPr>
            </w:pPr>
            <w:r w:rsidRPr="00551F42">
              <w:rPr>
                <w:rFonts w:cs="Arial"/>
                <w:b/>
                <w:bCs/>
                <w:color w:val="000000" w:themeColor="text1"/>
              </w:rPr>
              <w:t>Action Planning</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bCs/>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b/>
                <w:bCs/>
                <w:color w:val="000000" w:themeColor="text1"/>
              </w:rPr>
            </w:pPr>
          </w:p>
        </w:tc>
      </w:tr>
      <w:tr w:rsidR="004C4AFA" w:rsidRPr="00551F42" w:rsidTr="004C4AFA">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pStyle w:val="ListParagraph"/>
              <w:numPr>
                <w:ilvl w:val="0"/>
                <w:numId w:val="2"/>
              </w:numPr>
              <w:contextualSpacing/>
              <w:rPr>
                <w:rFonts w:ascii="Arial" w:hAnsi="Arial" w:cs="Arial"/>
                <w:bCs/>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Is your department willing to prepare an action plan if there are some areas for improvement for preventing and responding to sexual exploitation, abuse and harassment?</w:t>
            </w: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4C4AFA" w:rsidRPr="00551F42" w:rsidRDefault="004C4AFA" w:rsidP="00D33AC6">
            <w:pPr>
              <w:rPr>
                <w:rFonts w:cs="Arial"/>
                <w:color w:val="000000" w:themeColor="text1"/>
              </w:rPr>
            </w:pPr>
            <w:r w:rsidRPr="00551F42">
              <w:rPr>
                <w:rFonts w:cs="Arial"/>
                <w:color w:val="000000" w:themeColor="text1"/>
              </w:rPr>
              <w:t>Action Plan</w:t>
            </w:r>
          </w:p>
        </w:tc>
      </w:tr>
    </w:tbl>
    <w:p w:rsidR="008F1B95" w:rsidRDefault="008F1B95"/>
    <w:sectPr w:rsidR="008F1B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1C" w:rsidRDefault="000D781C" w:rsidP="004C4AFA">
      <w:r>
        <w:separator/>
      </w:r>
    </w:p>
  </w:endnote>
  <w:endnote w:type="continuationSeparator" w:id="0">
    <w:p w:rsidR="000D781C" w:rsidRDefault="000D781C" w:rsidP="004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1C" w:rsidRDefault="000D781C" w:rsidP="004C4AFA">
      <w:r>
        <w:separator/>
      </w:r>
    </w:p>
  </w:footnote>
  <w:footnote w:type="continuationSeparator" w:id="0">
    <w:p w:rsidR="000D781C" w:rsidRDefault="000D781C" w:rsidP="004C4AFA">
      <w:r>
        <w:continuationSeparator/>
      </w:r>
    </w:p>
  </w:footnote>
  <w:footnote w:id="1">
    <w:p w:rsidR="004C4AFA" w:rsidRPr="00FE64E7" w:rsidRDefault="004C4AFA" w:rsidP="004C4AFA">
      <w:pPr>
        <w:pStyle w:val="FootnoteText"/>
        <w:rPr>
          <w:sz w:val="14"/>
          <w:szCs w:val="14"/>
        </w:rPr>
      </w:pPr>
      <w:r w:rsidRPr="00FE64E7">
        <w:rPr>
          <w:rStyle w:val="FootnoteReference"/>
          <w:sz w:val="14"/>
          <w:szCs w:val="14"/>
        </w:rPr>
        <w:footnoteRef/>
      </w:r>
      <w:r w:rsidRPr="00FE64E7">
        <w:rPr>
          <w:sz w:val="14"/>
          <w:szCs w:val="14"/>
        </w:rPr>
        <w:t xml:space="preserve"> Are the prohibited standards of conduct clearly outlined in the code of conduct? Are the definitions of SEA, Sexual Harassment clearly clarified in the code of conduct? For example, the code of conduct should clearly stipulate the DONTS </w:t>
      </w:r>
      <w:proofErr w:type="spellStart"/>
      <w:r w:rsidRPr="00FE64E7">
        <w:rPr>
          <w:sz w:val="14"/>
          <w:szCs w:val="14"/>
        </w:rPr>
        <w:t>e.g</w:t>
      </w:r>
      <w:proofErr w:type="spellEnd"/>
      <w:r w:rsidRPr="00FE64E7">
        <w:rPr>
          <w:sz w:val="14"/>
          <w:szCs w:val="14"/>
        </w:rPr>
        <w:t xml:space="preserve"> no sexual activities between employees and children aged under 18; employees not allowed to exchange of money, goods, employment or services for sex; No sexual relationships between supervisors and supervisee etc.   </w:t>
      </w:r>
    </w:p>
  </w:footnote>
  <w:footnote w:id="2">
    <w:p w:rsidR="004C4AFA" w:rsidRPr="009D2109" w:rsidRDefault="004C4AFA" w:rsidP="004C4AFA">
      <w:pPr>
        <w:pStyle w:val="FootnoteText"/>
        <w:rPr>
          <w:i/>
          <w:iCs/>
          <w:sz w:val="16"/>
          <w:szCs w:val="16"/>
        </w:rPr>
      </w:pPr>
      <w:r w:rsidRPr="009D2109">
        <w:rPr>
          <w:rStyle w:val="FootnoteReference"/>
          <w:i/>
          <w:iCs/>
          <w:sz w:val="16"/>
          <w:szCs w:val="16"/>
        </w:rPr>
        <w:footnoteRef/>
      </w:r>
      <w:r w:rsidRPr="009D2109">
        <w:rPr>
          <w:i/>
          <w:iCs/>
          <w:sz w:val="16"/>
          <w:szCs w:val="16"/>
        </w:rPr>
        <w:t xml:space="preserve"> The non-teaching staff from high officials to lower grade staff e.g. school genitors working at district, UCs and </w:t>
      </w:r>
      <w:proofErr w:type="spellStart"/>
      <w:r w:rsidRPr="009D2109">
        <w:rPr>
          <w:i/>
          <w:iCs/>
          <w:sz w:val="16"/>
          <w:szCs w:val="16"/>
        </w:rPr>
        <w:t>Markaz</w:t>
      </w:r>
      <w:proofErr w:type="spellEnd"/>
      <w:r w:rsidRPr="009D2109">
        <w:rPr>
          <w:i/>
          <w:iCs/>
          <w:sz w:val="16"/>
          <w:szCs w:val="16"/>
        </w:rPr>
        <w:t xml:space="preserve"> level (schools).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1042B"/>
    <w:multiLevelType w:val="hybridMultilevel"/>
    <w:tmpl w:val="D3305AFA"/>
    <w:lvl w:ilvl="0" w:tplc="9496A5E0">
      <w:start w:val="1"/>
      <w:numFmt w:val="decimal"/>
      <w:lvlText w:val="%1."/>
      <w:lvlJc w:val="left"/>
      <w:pPr>
        <w:ind w:left="45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5742775"/>
    <w:multiLevelType w:val="hybridMultilevel"/>
    <w:tmpl w:val="CB484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571F1A"/>
    <w:multiLevelType w:val="hybridMultilevel"/>
    <w:tmpl w:val="8ED650BA"/>
    <w:lvl w:ilvl="0" w:tplc="85DCD090">
      <w:start w:val="1"/>
      <w:numFmt w:val="lowerLetter"/>
      <w:pStyle w:val="ListParagraph"/>
      <w:lvlText w:val="%1."/>
      <w:lvlJc w:val="left"/>
      <w:pPr>
        <w:ind w:left="360" w:hanging="360"/>
      </w:pPr>
      <w:rPr>
        <w:rFonts w:asciiTheme="minorBidi" w:hAnsiTheme="minorBidi" w:cstheme="minorBidi"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FA"/>
    <w:rsid w:val="000D781C"/>
    <w:rsid w:val="002817FE"/>
    <w:rsid w:val="004C4AFA"/>
    <w:rsid w:val="008F1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EF12-3FAB-4C61-B1A3-8948796D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F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4C4A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AFA"/>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ADB paragraph numbering"/>
    <w:basedOn w:val="Normal"/>
    <w:link w:val="ListParagraphChar"/>
    <w:uiPriority w:val="34"/>
    <w:qFormat/>
    <w:rsid w:val="004C4AFA"/>
    <w:pPr>
      <w:numPr>
        <w:numId w:val="1"/>
      </w:numPr>
      <w:jc w:val="both"/>
    </w:pPr>
    <w:rPr>
      <w:rFonts w:asciiTheme="minorBidi" w:eastAsiaTheme="minorBidi" w:hAnsiTheme="minorBidi" w:cstheme="minorBidi"/>
      <w:color w:val="000000"/>
      <w:szCs w:val="22"/>
      <w:lang w:val="en-GB" w:eastAsia="en-GB"/>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4C4AFA"/>
    <w:rPr>
      <w:rFonts w:asciiTheme="minorBidi" w:eastAsiaTheme="minorBidi" w:hAnsiTheme="minorBidi"/>
      <w:color w:val="000000"/>
      <w:sz w:val="20"/>
      <w:lang w:val="en-GB" w:eastAsia="en-GB"/>
    </w:rPr>
  </w:style>
  <w:style w:type="paragraph" w:customStyle="1" w:styleId="TableParagraph">
    <w:name w:val="Table Paragraph"/>
    <w:basedOn w:val="Normal"/>
    <w:uiPriority w:val="1"/>
    <w:qFormat/>
    <w:rsid w:val="004C4AFA"/>
    <w:pPr>
      <w:autoSpaceDE w:val="0"/>
      <w:autoSpaceDN w:val="0"/>
    </w:pPr>
    <w:rPr>
      <w:rFonts w:asciiTheme="minorHAnsi" w:hAnsiTheme="minorHAnsi"/>
      <w:sz w:val="22"/>
      <w:szCs w:val="22"/>
      <w:lang w:bidi="en-US"/>
    </w:rPr>
  </w:style>
  <w:style w:type="table" w:styleId="TableGrid">
    <w:name w:val="Table Grid"/>
    <w:basedOn w:val="TableNormal"/>
    <w:uiPriority w:val="59"/>
    <w:rsid w:val="004C4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4C4AFA"/>
  </w:style>
  <w:style w:type="character" w:customStyle="1" w:styleId="CommentTextChar">
    <w:name w:val="Comment Text Char"/>
    <w:basedOn w:val="DefaultParagraphFont"/>
    <w:link w:val="CommentText"/>
    <w:uiPriority w:val="99"/>
    <w:semiHidden/>
    <w:rsid w:val="004C4AFA"/>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4C4AFA"/>
  </w:style>
  <w:style w:type="character" w:customStyle="1" w:styleId="FootnoteTextChar">
    <w:name w:val="Footnote Text Char"/>
    <w:basedOn w:val="DefaultParagraphFont"/>
    <w:link w:val="FootnoteText"/>
    <w:uiPriority w:val="99"/>
    <w:semiHidden/>
    <w:rsid w:val="004C4AF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C4AFA"/>
    <w:rPr>
      <w:vertAlign w:val="superscript"/>
    </w:rPr>
  </w:style>
  <w:style w:type="table" w:customStyle="1" w:styleId="TableGridLight1">
    <w:name w:val="Table Grid Light1"/>
    <w:basedOn w:val="TableNormal"/>
    <w:uiPriority w:val="40"/>
    <w:rsid w:val="004C4A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C4AFA"/>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C4AFA"/>
    <w:rPr>
      <w:rFonts w:ascii="Calibri" w:hAnsi="Calibri" w:cs="Calibri"/>
    </w:rPr>
  </w:style>
  <w:style w:type="paragraph" w:styleId="BalloonText">
    <w:name w:val="Balloon Text"/>
    <w:basedOn w:val="Normal"/>
    <w:link w:val="BalloonTextChar"/>
    <w:uiPriority w:val="99"/>
    <w:semiHidden/>
    <w:unhideWhenUsed/>
    <w:rsid w:val="004C4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2022-12-06T04:09:00Z</cp:lastPrinted>
  <dcterms:created xsi:type="dcterms:W3CDTF">2022-12-06T04:03:00Z</dcterms:created>
  <dcterms:modified xsi:type="dcterms:W3CDTF">2022-12-06T04:20:00Z</dcterms:modified>
</cp:coreProperties>
</file>