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692D" w14:textId="77777777" w:rsidR="0078046D" w:rsidRPr="00933B5F" w:rsidRDefault="0078046D" w:rsidP="0078046D">
      <w:pPr>
        <w:jc w:val="center"/>
        <w:rPr>
          <w:b/>
        </w:rPr>
      </w:pPr>
      <w:bookmarkStart w:id="0" w:name="_GoBack"/>
      <w:bookmarkEnd w:id="0"/>
      <w:r w:rsidRPr="00933B5F">
        <w:rPr>
          <w:b/>
        </w:rPr>
        <w:t>Research Assistant</w:t>
      </w:r>
    </w:p>
    <w:p w14:paraId="42528A15" w14:textId="17C359E8" w:rsidR="000004D1" w:rsidRDefault="000004D1" w:rsidP="005D31D6">
      <w:pPr>
        <w:spacing w:before="100" w:beforeAutospacing="1" w:after="100" w:afterAutospacing="1" w:line="240" w:lineRule="auto"/>
        <w:rPr>
          <w:rFonts w:eastAsia="MS Gothic" w:cstheme="minorHAnsi"/>
        </w:rPr>
      </w:pPr>
      <w:r w:rsidRPr="000004D1">
        <w:rPr>
          <w:rFonts w:eastAsia="MS Gothic" w:cstheme="minorHAnsi"/>
        </w:rPr>
        <w:t xml:space="preserve">This </w:t>
      </w:r>
      <w:r w:rsidR="00E453F2">
        <w:rPr>
          <w:rFonts w:eastAsia="MS Gothic" w:cstheme="minorHAnsi"/>
        </w:rPr>
        <w:t xml:space="preserve">APW </w:t>
      </w:r>
      <w:r w:rsidR="00C05E37">
        <w:rPr>
          <w:rFonts w:eastAsia="MS Gothic" w:cstheme="minorHAnsi"/>
        </w:rPr>
        <w:t>is requested by</w:t>
      </w:r>
      <w:r w:rsidRPr="000004D1">
        <w:rPr>
          <w:rFonts w:eastAsia="MS Gothic" w:cstheme="minorHAnsi"/>
        </w:rPr>
        <w:t>:</w:t>
      </w:r>
    </w:p>
    <w:p w14:paraId="63B95A0E" w14:textId="77777777" w:rsidR="000004D1"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Purpose of the Consultancy</w:t>
      </w:r>
    </w:p>
    <w:p w14:paraId="58C0BF13" w14:textId="20CC1C34" w:rsidR="00171737" w:rsidRDefault="0078046D" w:rsidP="0078046D">
      <w:pPr>
        <w:spacing w:before="100" w:beforeAutospacing="1" w:after="100" w:afterAutospacing="1"/>
        <w:ind w:left="360"/>
        <w:jc w:val="both"/>
      </w:pPr>
      <w:bookmarkStart w:id="1" w:name="_Hlk114748754"/>
      <w:r>
        <w:t xml:space="preserve">The purpose of this consultancy is to </w:t>
      </w:r>
      <w:r w:rsidR="00A445D2">
        <w:t>provide administrative support</w:t>
      </w:r>
      <w:r>
        <w:t xml:space="preserve"> </w:t>
      </w:r>
      <w:r w:rsidR="00A445D2">
        <w:t xml:space="preserve">to </w:t>
      </w:r>
      <w:r>
        <w:t xml:space="preserve">the Ministry of National Health Services </w:t>
      </w:r>
      <w:r w:rsidR="00A445D2">
        <w:t xml:space="preserve">with </w:t>
      </w:r>
      <w:r>
        <w:t>Regulation and coordination in developing the National health financing framework</w:t>
      </w:r>
    </w:p>
    <w:bookmarkEnd w:id="1"/>
    <w:p w14:paraId="756F1CA2" w14:textId="77777777" w:rsidR="000004D1"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Background</w:t>
      </w:r>
    </w:p>
    <w:p w14:paraId="17A805B0" w14:textId="77777777" w:rsidR="0078046D" w:rsidRPr="00DE77A2" w:rsidRDefault="0078046D" w:rsidP="0078046D">
      <w:pPr>
        <w:pStyle w:val="ListParagraph"/>
        <w:jc w:val="both"/>
      </w:pPr>
      <w:bookmarkStart w:id="2" w:name="_Hlk62030777"/>
      <w:r w:rsidRPr="00DE77A2">
        <w:t xml:space="preserve">Health outcomes in Pakistan are subpar and inequitable, which reflects poor coverage of quality health services. Health financing is one of the main factors responsible for this. Total health spending in 2017-18 comprised only 3% of GDP ($52 per capita), which is low compared to a global average of 9.9%. </w:t>
      </w:r>
      <w:proofErr w:type="gramStart"/>
      <w:r w:rsidRPr="00DE77A2">
        <w:t>It also the lowest in South Asia.</w:t>
      </w:r>
      <w:proofErr w:type="gramEnd"/>
      <w:r w:rsidRPr="00DE77A2">
        <w:t xml:space="preserve"> However, the root cause of Pakistan’s relatively low levels of health coverage remains its chronically low levels of public financing for health. Public health expenditure in 2017-18 accounted for 1.2% of GDP, or around $21 per capita. This level of public spending on health is among the lowest worldwide.</w:t>
      </w:r>
    </w:p>
    <w:p w14:paraId="23EEF965" w14:textId="77777777" w:rsidR="0078046D" w:rsidRPr="00DE77A2" w:rsidRDefault="0078046D" w:rsidP="0078046D">
      <w:pPr>
        <w:pStyle w:val="ListParagraph"/>
        <w:jc w:val="both"/>
      </w:pPr>
      <w:r w:rsidRPr="00DE77A2">
        <w:t>In the absence of adequate public financing (efficiency and effectiveness of spending included), Pakistanis often resort to financing health care via out-of-pocket payments, which account for 51.9% of total health expenditures in 2017-18. In addition, most health allocations are consumed by secondary and tertiary care, leaving a scant allocation for preventive and primary care. There are inefficiencies in the public health spending due to weak management systems, resulting in low utilization and eventual lapse of funds. Donor funding has been minimal.</w:t>
      </w:r>
    </w:p>
    <w:p w14:paraId="21E263F8" w14:textId="49BEF600" w:rsidR="0078046D" w:rsidRPr="00DE77A2" w:rsidRDefault="0078046D" w:rsidP="0078046D">
      <w:pPr>
        <w:pStyle w:val="ListParagraph"/>
        <w:jc w:val="both"/>
      </w:pPr>
      <w:r w:rsidRPr="00DE77A2">
        <w:t xml:space="preserve"> Health financing strategy of a country define how resources are collected, pooled, and used to purchase health services for the population</w:t>
      </w:r>
      <w:r>
        <w:t xml:space="preserve"> </w:t>
      </w:r>
      <w:r w:rsidRPr="00DE77A2">
        <w:t xml:space="preserve">and typically result from a structured policy- making process. Health financing strategy diagnoses health system performance and identifies a prioritized set of actions – reformative and evaluative - within a 5-10 </w:t>
      </w:r>
      <w:r w:rsidR="00E453F2" w:rsidRPr="00DE77A2">
        <w:t>year</w:t>
      </w:r>
      <w:r w:rsidRPr="00DE77A2">
        <w:t xml:space="preserve"> period; and develops a service delivery plan for ALL, ideally integrated within national/provincial plan or health policy document. A health financing strategy is only useful, and successful, if it </w:t>
      </w:r>
      <w:r w:rsidR="00E453F2">
        <w:t>is</w:t>
      </w:r>
      <w:r w:rsidRPr="00DE77A2">
        <w:t xml:space="preserve"> based on and responds to a detailed analysis of both the current performance problems in the health sector and their underlying causes.</w:t>
      </w:r>
    </w:p>
    <w:p w14:paraId="0521F77D" w14:textId="7BFAAF13" w:rsidR="0078046D" w:rsidRPr="00DE77A2" w:rsidRDefault="0078046D" w:rsidP="0078046D">
      <w:pPr>
        <w:pStyle w:val="ListParagraph"/>
        <w:jc w:val="both"/>
      </w:pPr>
      <w:r w:rsidRPr="00DE77A2">
        <w:t xml:space="preserve"> </w:t>
      </w:r>
      <w:r w:rsidR="00E453F2" w:rsidRPr="00DE77A2">
        <w:t xml:space="preserve">The Ministry of National Health </w:t>
      </w:r>
      <w:r w:rsidR="00E453F2">
        <w:t>Services</w:t>
      </w:r>
      <w:r w:rsidR="00E453F2" w:rsidRPr="00DE77A2">
        <w:t>, Regulations</w:t>
      </w:r>
      <w:r w:rsidR="00E453F2">
        <w:t>,</w:t>
      </w:r>
      <w:r w:rsidR="00E453F2" w:rsidRPr="00DE77A2">
        <w:t xml:space="preserve"> and Coordination (M/o NHSRC)</w:t>
      </w:r>
      <w:r w:rsidRPr="00DE77A2">
        <w:t xml:space="preserve"> is working for </w:t>
      </w:r>
      <w:r w:rsidR="00E453F2">
        <w:t xml:space="preserve">the </w:t>
      </w:r>
      <w:r w:rsidRPr="00DE77A2">
        <w:t xml:space="preserve">development of </w:t>
      </w:r>
      <w:r w:rsidR="00E453F2">
        <w:t xml:space="preserve">the </w:t>
      </w:r>
      <w:r w:rsidRPr="00DE77A2">
        <w:t>Health Financing Strategy in consultation with provinces/ federating areas, partner organizations</w:t>
      </w:r>
      <w:r w:rsidR="00E453F2">
        <w:t>,</w:t>
      </w:r>
      <w:r w:rsidRPr="00DE77A2">
        <w:t xml:space="preserve"> and key stakeholders. In this regard</w:t>
      </w:r>
      <w:r w:rsidR="00E453F2">
        <w:t>,</w:t>
      </w:r>
      <w:r w:rsidRPr="00DE77A2">
        <w:t xml:space="preserve"> a Technical Working Group (TWG) has been notified.</w:t>
      </w:r>
    </w:p>
    <w:p w14:paraId="03203A73" w14:textId="6140549B" w:rsidR="0078046D" w:rsidRDefault="0078046D" w:rsidP="0078046D">
      <w:pPr>
        <w:pStyle w:val="ListParagraph"/>
        <w:jc w:val="both"/>
      </w:pPr>
      <w:r w:rsidRPr="00DE77A2">
        <w:t xml:space="preserve"> The WHO being a major technical agency is an important </w:t>
      </w:r>
      <w:proofErr w:type="gramStart"/>
      <w:r w:rsidRPr="00DE77A2">
        <w:t>stakeholder,</w:t>
      </w:r>
      <w:proofErr w:type="gramEnd"/>
      <w:r w:rsidRPr="00DE77A2">
        <w:t xml:space="preserve"> it seeks </w:t>
      </w:r>
      <w:r w:rsidR="00E453F2">
        <w:t xml:space="preserve">the </w:t>
      </w:r>
      <w:r w:rsidRPr="00DE77A2">
        <w:t xml:space="preserve">services of </w:t>
      </w:r>
      <w:r w:rsidR="00E453F2">
        <w:t>a</w:t>
      </w:r>
      <w:r w:rsidRPr="00DE77A2">
        <w:t xml:space="preserve"> </w:t>
      </w:r>
      <w:r>
        <w:t xml:space="preserve">short-term consultant to support </w:t>
      </w:r>
      <w:r w:rsidRPr="00DE77A2">
        <w:t xml:space="preserve">Ministry in </w:t>
      </w:r>
      <w:r>
        <w:t xml:space="preserve">the </w:t>
      </w:r>
      <w:r w:rsidRPr="00DE77A2">
        <w:t xml:space="preserve">development of </w:t>
      </w:r>
      <w:r w:rsidR="00E453F2">
        <w:t xml:space="preserve">the </w:t>
      </w:r>
      <w:r w:rsidRPr="00DE77A2">
        <w:t>Health Financing Strategy.</w:t>
      </w:r>
    </w:p>
    <w:bookmarkEnd w:id="2"/>
    <w:p w14:paraId="61C6249E" w14:textId="53B5E972" w:rsidR="000004D1" w:rsidRPr="00DC5FEB" w:rsidRDefault="00A62E36"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color w:val="auto"/>
          <w:sz w:val="22"/>
          <w:szCs w:val="22"/>
        </w:rPr>
      </w:pPr>
      <w:r w:rsidRPr="00953B0C">
        <w:rPr>
          <w:rFonts w:asciiTheme="minorHAnsi" w:eastAsiaTheme="minorHAnsi" w:hAnsiTheme="minorHAnsi" w:cstheme="minorHAnsi"/>
          <w:b/>
          <w:bCs/>
          <w:color w:val="auto"/>
          <w:sz w:val="22"/>
          <w:szCs w:val="22"/>
        </w:rPr>
        <w:t>Planned timelines</w:t>
      </w:r>
      <w:r w:rsidR="00DC5FEB">
        <w:rPr>
          <w:rFonts w:asciiTheme="minorHAnsi" w:eastAsiaTheme="minorHAnsi" w:hAnsiTheme="minorHAnsi" w:cstheme="minorHAnsi"/>
          <w:b/>
          <w:bCs/>
          <w:color w:val="auto"/>
          <w:sz w:val="22"/>
          <w:szCs w:val="22"/>
        </w:rPr>
        <w:t xml:space="preserve"> </w:t>
      </w:r>
      <w:r w:rsidR="00DC5FEB" w:rsidRPr="00DC5FEB">
        <w:rPr>
          <w:rFonts w:asciiTheme="minorHAnsi" w:eastAsiaTheme="minorHAnsi" w:hAnsiTheme="minorHAnsi" w:cstheme="minorHAnsi"/>
          <w:color w:val="auto"/>
          <w:sz w:val="22"/>
          <w:szCs w:val="22"/>
        </w:rPr>
        <w:t>(subject to confirmation)</w:t>
      </w:r>
    </w:p>
    <w:p w14:paraId="0C1E359E" w14:textId="653A6F42" w:rsidR="0078046D" w:rsidRDefault="0078046D" w:rsidP="0078046D">
      <w:pPr>
        <w:pStyle w:val="ListParagraph"/>
        <w:jc w:val="both"/>
      </w:pPr>
      <w:r>
        <w:t xml:space="preserve">Start date: </w:t>
      </w:r>
      <w:r w:rsidR="00A94C7A">
        <w:t>24</w:t>
      </w:r>
      <w:r>
        <w:t xml:space="preserve"> </w:t>
      </w:r>
      <w:r w:rsidR="00A94C7A">
        <w:t>July</w:t>
      </w:r>
      <w:r>
        <w:t xml:space="preserve"> 2023</w:t>
      </w:r>
    </w:p>
    <w:p w14:paraId="7DFB9415" w14:textId="08C0FABD" w:rsidR="0078046D" w:rsidRDefault="0078046D" w:rsidP="0078046D">
      <w:pPr>
        <w:pStyle w:val="ListParagraph"/>
        <w:jc w:val="both"/>
      </w:pPr>
      <w:r>
        <w:t xml:space="preserve">End date:  </w:t>
      </w:r>
      <w:r w:rsidR="00A94C7A">
        <w:t xml:space="preserve">15 September </w:t>
      </w:r>
      <w:r>
        <w:t>2023</w:t>
      </w:r>
    </w:p>
    <w:p w14:paraId="4F2626D4" w14:textId="5D7870C9" w:rsidR="00171737" w:rsidRPr="00171737" w:rsidRDefault="00DD12DB" w:rsidP="00113A60">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Work to be performed</w:t>
      </w:r>
      <w:r w:rsidR="00171737" w:rsidRPr="00171737">
        <w:rPr>
          <w:rFonts w:asciiTheme="minorHAnsi" w:eastAsiaTheme="minorHAnsi" w:hAnsiTheme="minorHAnsi" w:cstheme="minorHAnsi"/>
          <w:b/>
          <w:bCs/>
          <w:color w:val="auto"/>
          <w:sz w:val="22"/>
          <w:szCs w:val="22"/>
        </w:rPr>
        <w:t xml:space="preserve"> </w:t>
      </w:r>
    </w:p>
    <w:p w14:paraId="2C25D840" w14:textId="41B389A8" w:rsidR="0078046D" w:rsidRDefault="0078046D" w:rsidP="0078046D">
      <w:pPr>
        <w:pStyle w:val="ListParagraph"/>
        <w:numPr>
          <w:ilvl w:val="0"/>
          <w:numId w:val="10"/>
        </w:numPr>
        <w:spacing w:after="160" w:line="259" w:lineRule="auto"/>
        <w:jc w:val="both"/>
      </w:pPr>
      <w:r>
        <w:t xml:space="preserve">Support the official at the Ministry dealing with the health financing desk. </w:t>
      </w:r>
    </w:p>
    <w:p w14:paraId="1FB4C5CE" w14:textId="4B6E0732" w:rsidR="00767FCB" w:rsidRPr="00767FCB" w:rsidRDefault="00767FCB" w:rsidP="0078046D">
      <w:pPr>
        <w:pStyle w:val="ListParagraph"/>
        <w:numPr>
          <w:ilvl w:val="0"/>
          <w:numId w:val="10"/>
        </w:numPr>
        <w:spacing w:after="160" w:line="259" w:lineRule="auto"/>
        <w:jc w:val="both"/>
      </w:pPr>
      <w:r>
        <w:rPr>
          <w:rFonts w:cstheme="minorHAnsi"/>
          <w:sz w:val="24"/>
          <w:szCs w:val="24"/>
        </w:rPr>
        <w:lastRenderedPageBreak/>
        <w:t xml:space="preserve">To provide facilitation to senior Health Financing Consultants in </w:t>
      </w:r>
      <w:r w:rsidR="00A445D2">
        <w:rPr>
          <w:rFonts w:cstheme="minorHAnsi"/>
          <w:sz w:val="24"/>
          <w:szCs w:val="24"/>
        </w:rPr>
        <w:t xml:space="preserve">the </w:t>
      </w:r>
      <w:r>
        <w:rPr>
          <w:rFonts w:cstheme="minorHAnsi"/>
          <w:sz w:val="24"/>
          <w:szCs w:val="24"/>
        </w:rPr>
        <w:t>finalization of the working Paper on Health Financing and getting approval from provinces and federating areas</w:t>
      </w:r>
    </w:p>
    <w:p w14:paraId="29CE6B40" w14:textId="77777777" w:rsidR="00767FCB" w:rsidRPr="00DE77A2" w:rsidRDefault="00767FCB" w:rsidP="0078046D">
      <w:pPr>
        <w:pStyle w:val="ListParagraph"/>
        <w:numPr>
          <w:ilvl w:val="0"/>
          <w:numId w:val="10"/>
        </w:numPr>
        <w:spacing w:after="160" w:line="259" w:lineRule="auto"/>
        <w:jc w:val="both"/>
      </w:pPr>
    </w:p>
    <w:p w14:paraId="0765BD77" w14:textId="77777777" w:rsidR="0078046D" w:rsidRDefault="0078046D" w:rsidP="0078046D">
      <w:pPr>
        <w:pStyle w:val="ListParagraph"/>
        <w:numPr>
          <w:ilvl w:val="0"/>
          <w:numId w:val="10"/>
        </w:numPr>
        <w:spacing w:after="160" w:line="259" w:lineRule="auto"/>
        <w:jc w:val="both"/>
      </w:pPr>
      <w:r>
        <w:t>Arranging meetings at the federal and provincial level and taking minutes of technical working groups, core committee meetings, etc.</w:t>
      </w:r>
    </w:p>
    <w:p w14:paraId="027C7312" w14:textId="77777777" w:rsidR="00767FCB" w:rsidRDefault="0078046D" w:rsidP="00767FCB">
      <w:pPr>
        <w:pStyle w:val="ListParagraph"/>
        <w:numPr>
          <w:ilvl w:val="0"/>
          <w:numId w:val="10"/>
        </w:numPr>
        <w:spacing w:after="160" w:line="259" w:lineRule="auto"/>
        <w:jc w:val="both"/>
      </w:pPr>
      <w:r>
        <w:t>Coordinate during the provincial consultation, maintaining the list of participants and stakeholders.</w:t>
      </w:r>
    </w:p>
    <w:p w14:paraId="6BA04103" w14:textId="7E455668" w:rsidR="0078046D" w:rsidRDefault="00767FCB" w:rsidP="00A445D2">
      <w:pPr>
        <w:pStyle w:val="ListParagraph"/>
        <w:numPr>
          <w:ilvl w:val="0"/>
          <w:numId w:val="10"/>
        </w:numPr>
        <w:spacing w:after="160" w:line="259" w:lineRule="auto"/>
        <w:jc w:val="both"/>
      </w:pPr>
      <w:r>
        <w:t xml:space="preserve">To provide facilitation to senior </w:t>
      </w:r>
      <w:r w:rsidR="00A445D2">
        <w:t>health financing</w:t>
      </w:r>
      <w:r>
        <w:t xml:space="preserve"> </w:t>
      </w:r>
      <w:r w:rsidR="00A445D2">
        <w:t>consultants</w:t>
      </w:r>
      <w:r>
        <w:t xml:space="preserve"> in</w:t>
      </w:r>
      <w:r w:rsidRPr="00767FCB">
        <w:rPr>
          <w:rFonts w:cstheme="minorHAnsi"/>
          <w:sz w:val="24"/>
          <w:szCs w:val="24"/>
        </w:rPr>
        <w:t xml:space="preserve"> organiz</w:t>
      </w:r>
      <w:r>
        <w:rPr>
          <w:rFonts w:cstheme="minorHAnsi"/>
          <w:sz w:val="24"/>
          <w:szCs w:val="24"/>
        </w:rPr>
        <w:t>ing</w:t>
      </w:r>
      <w:r w:rsidRPr="00767FCB">
        <w:rPr>
          <w:rFonts w:cstheme="minorHAnsi"/>
          <w:sz w:val="24"/>
          <w:szCs w:val="24"/>
        </w:rPr>
        <w:t xml:space="preserve"> a technical working group (TWG) on Health Financing</w:t>
      </w:r>
    </w:p>
    <w:p w14:paraId="3B8B276E" w14:textId="77777777" w:rsidR="00063091" w:rsidRDefault="00063091" w:rsidP="00063091">
      <w:pPr>
        <w:spacing w:after="0" w:line="240" w:lineRule="auto"/>
        <w:jc w:val="both"/>
        <w:rPr>
          <w:rFonts w:cstheme="minorHAnsi"/>
          <w:b/>
          <w:color w:val="000000"/>
        </w:rPr>
      </w:pPr>
    </w:p>
    <w:p w14:paraId="45607530" w14:textId="77777777" w:rsidR="000004D1" w:rsidRPr="00953B0C" w:rsidRDefault="00116A84"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 xml:space="preserve">Technical </w:t>
      </w:r>
      <w:r w:rsidR="00953B0C">
        <w:rPr>
          <w:rFonts w:asciiTheme="minorHAnsi" w:eastAsiaTheme="minorHAnsi" w:hAnsiTheme="minorHAnsi" w:cstheme="minorHAnsi"/>
          <w:b/>
          <w:bCs/>
          <w:color w:val="auto"/>
          <w:sz w:val="22"/>
          <w:szCs w:val="22"/>
        </w:rPr>
        <w:t>s</w:t>
      </w:r>
      <w:r w:rsidRPr="00953B0C">
        <w:rPr>
          <w:rFonts w:asciiTheme="minorHAnsi" w:eastAsiaTheme="minorHAnsi" w:hAnsiTheme="minorHAnsi" w:cstheme="minorHAnsi"/>
          <w:b/>
          <w:bCs/>
          <w:color w:val="auto"/>
          <w:sz w:val="22"/>
          <w:szCs w:val="22"/>
        </w:rPr>
        <w:t>upervision</w:t>
      </w:r>
    </w:p>
    <w:p w14:paraId="207C9858" w14:textId="00089E22" w:rsidR="00116A84" w:rsidRPr="00340573" w:rsidRDefault="00116A84" w:rsidP="00953B0C">
      <w:pPr>
        <w:spacing w:before="100" w:beforeAutospacing="1" w:after="100" w:afterAutospacing="1" w:line="240" w:lineRule="auto"/>
        <w:ind w:left="360"/>
        <w:rPr>
          <w:rFonts w:cstheme="minorHAnsi"/>
        </w:rPr>
      </w:pPr>
      <w:r w:rsidRPr="00340573">
        <w:rPr>
          <w:rFonts w:cstheme="minorHAnsi"/>
        </w:rPr>
        <w:t xml:space="preserve">The selected </w:t>
      </w:r>
      <w:r w:rsidR="00EA71DA">
        <w:rPr>
          <w:rFonts w:cstheme="minorHAnsi"/>
        </w:rPr>
        <w:t xml:space="preserve">APW Holder </w:t>
      </w:r>
      <w:r w:rsidRPr="00340573">
        <w:rPr>
          <w:rFonts w:cstheme="minorHAnsi"/>
        </w:rPr>
        <w:t xml:space="preserve">will work </w:t>
      </w:r>
      <w:r w:rsidR="00953B0C">
        <w:rPr>
          <w:rFonts w:cstheme="minorHAnsi"/>
        </w:rPr>
        <w:t>under</w:t>
      </w:r>
      <w:r w:rsidRPr="00340573">
        <w:rPr>
          <w:rFonts w:cstheme="minorHAnsi"/>
        </w:rPr>
        <w:t xml:space="preserve"> the supervision of</w:t>
      </w:r>
      <w:r w:rsidR="00A94C7A">
        <w:rPr>
          <w:rFonts w:cstheme="minorHAnsi"/>
        </w:rPr>
        <w:t xml:space="preserve"> the Ministry </w:t>
      </w:r>
      <w:proofErr w:type="gramStart"/>
      <w:r w:rsidR="00A94C7A">
        <w:rPr>
          <w:rFonts w:cstheme="minorHAnsi"/>
        </w:rPr>
        <w:t>Of</w:t>
      </w:r>
      <w:proofErr w:type="gramEnd"/>
      <w:r w:rsidR="00A94C7A">
        <w:rPr>
          <w:rFonts w:cstheme="minorHAnsi"/>
        </w:rPr>
        <w:t xml:space="preserve"> National Health Services Regulation &amp; Coordination</w:t>
      </w:r>
    </w:p>
    <w:p w14:paraId="762F35E7" w14:textId="77777777" w:rsidR="00116A84" w:rsidRPr="00953B0C" w:rsidRDefault="00116A84"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Specific requirements</w:t>
      </w:r>
    </w:p>
    <w:p w14:paraId="0C33C473" w14:textId="77777777" w:rsidR="00116A84" w:rsidRPr="00953B0C" w:rsidRDefault="00116A84" w:rsidP="004613DE">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Qualifications required</w:t>
      </w:r>
      <w:r w:rsidR="005D31D6" w:rsidRPr="00953B0C">
        <w:rPr>
          <w:rFonts w:asciiTheme="minorHAnsi" w:eastAsiaTheme="minorHAnsi" w:hAnsiTheme="minorHAnsi" w:cstheme="minorHAnsi"/>
          <w:color w:val="auto"/>
          <w:sz w:val="22"/>
          <w:szCs w:val="22"/>
          <w:u w:val="single"/>
        </w:rPr>
        <w:t>:</w:t>
      </w:r>
    </w:p>
    <w:p w14:paraId="4620ECEA" w14:textId="77777777" w:rsidR="00E453F2" w:rsidRDefault="00E453F2" w:rsidP="00E453F2">
      <w:pPr>
        <w:pStyle w:val="ListParagraph"/>
        <w:numPr>
          <w:ilvl w:val="0"/>
          <w:numId w:val="2"/>
        </w:numPr>
        <w:jc w:val="both"/>
      </w:pPr>
      <w:r>
        <w:t>Must have a university degree (graduation level) in management science, finance, or a relevant discipline</w:t>
      </w:r>
    </w:p>
    <w:p w14:paraId="4C34B0E9" w14:textId="20EFEF12" w:rsidR="00116A84" w:rsidRPr="00953B0C" w:rsidRDefault="00116A84" w:rsidP="00837EA8">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Experience required:</w:t>
      </w:r>
    </w:p>
    <w:p w14:paraId="52F3A205" w14:textId="7B8D3BA0" w:rsidR="00837EA8" w:rsidRDefault="00837EA8" w:rsidP="004613DE">
      <w:pPr>
        <w:numPr>
          <w:ilvl w:val="0"/>
          <w:numId w:val="2"/>
        </w:numPr>
        <w:spacing w:before="100" w:beforeAutospacing="1" w:after="100" w:afterAutospacing="1" w:line="240" w:lineRule="auto"/>
        <w:jc w:val="both"/>
      </w:pPr>
      <w:r w:rsidRPr="00837EA8">
        <w:t xml:space="preserve">At least </w:t>
      </w:r>
      <w:r w:rsidR="00E453F2">
        <w:t>six-month working experience in the same field</w:t>
      </w:r>
    </w:p>
    <w:p w14:paraId="2F197816" w14:textId="77777777" w:rsidR="00AC647F" w:rsidRPr="006933B0" w:rsidRDefault="006933B0" w:rsidP="006933B0">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Pr>
          <w:rFonts w:asciiTheme="minorHAnsi" w:eastAsiaTheme="minorHAnsi" w:hAnsiTheme="minorHAnsi" w:cstheme="minorHAnsi"/>
          <w:color w:val="auto"/>
          <w:sz w:val="22"/>
          <w:szCs w:val="22"/>
          <w:u w:val="single"/>
        </w:rPr>
        <w:t xml:space="preserve">Other Skills </w:t>
      </w:r>
      <w:r w:rsidR="00116A84" w:rsidRPr="00953B0C">
        <w:rPr>
          <w:rFonts w:asciiTheme="minorHAnsi" w:eastAsiaTheme="minorHAnsi" w:hAnsiTheme="minorHAnsi" w:cstheme="minorHAnsi"/>
          <w:color w:val="auto"/>
          <w:sz w:val="22"/>
          <w:szCs w:val="22"/>
          <w:u w:val="single"/>
        </w:rPr>
        <w:t>and knowledge:</w:t>
      </w:r>
    </w:p>
    <w:p w14:paraId="29D57F63" w14:textId="77777777" w:rsidR="00E453F2" w:rsidRDefault="00E453F2" w:rsidP="00E453F2">
      <w:pPr>
        <w:pStyle w:val="ListParagraph"/>
        <w:numPr>
          <w:ilvl w:val="0"/>
          <w:numId w:val="2"/>
        </w:numPr>
        <w:spacing w:after="160" w:line="259" w:lineRule="auto"/>
        <w:jc w:val="both"/>
      </w:pPr>
      <w:r>
        <w:t xml:space="preserve">Basic knowledge of health finance </w:t>
      </w:r>
    </w:p>
    <w:p w14:paraId="7E84D559" w14:textId="77777777" w:rsidR="00E453F2" w:rsidRDefault="00E453F2" w:rsidP="00E453F2">
      <w:pPr>
        <w:pStyle w:val="ListParagraph"/>
        <w:numPr>
          <w:ilvl w:val="0"/>
          <w:numId w:val="2"/>
        </w:numPr>
        <w:spacing w:after="160" w:line="259" w:lineRule="auto"/>
        <w:jc w:val="both"/>
      </w:pPr>
      <w:r>
        <w:t xml:space="preserve">Good writing and communication skills </w:t>
      </w:r>
    </w:p>
    <w:p w14:paraId="48F9B61C" w14:textId="77777777" w:rsidR="00E453F2" w:rsidRDefault="00E453F2" w:rsidP="00E453F2">
      <w:pPr>
        <w:pStyle w:val="ListParagraph"/>
        <w:numPr>
          <w:ilvl w:val="0"/>
          <w:numId w:val="2"/>
        </w:numPr>
        <w:spacing w:after="160" w:line="259" w:lineRule="auto"/>
        <w:jc w:val="both"/>
      </w:pPr>
      <w:r>
        <w:t xml:space="preserve">Good knowledge of MS Office applications </w:t>
      </w:r>
    </w:p>
    <w:p w14:paraId="0F2268B0" w14:textId="77777777" w:rsidR="00DD12DB"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Place of assignment</w:t>
      </w:r>
    </w:p>
    <w:p w14:paraId="3616E4DB" w14:textId="59AF6345" w:rsidR="00DD12DB" w:rsidRPr="00340573" w:rsidRDefault="00340573" w:rsidP="00460553">
      <w:pPr>
        <w:spacing w:before="120" w:after="100" w:afterAutospacing="1" w:line="240" w:lineRule="auto"/>
        <w:ind w:left="360"/>
        <w:rPr>
          <w:rFonts w:cstheme="minorHAnsi"/>
        </w:rPr>
      </w:pPr>
      <w:r w:rsidRPr="00340573">
        <w:rPr>
          <w:rFonts w:cstheme="minorHAnsi"/>
        </w:rPr>
        <w:t xml:space="preserve">The consultant will be based </w:t>
      </w:r>
      <w:r w:rsidR="00460553">
        <w:rPr>
          <w:rFonts w:cstheme="minorHAnsi"/>
        </w:rPr>
        <w:t xml:space="preserve">at </w:t>
      </w:r>
      <w:r w:rsidR="00E453F2">
        <w:rPr>
          <w:rFonts w:cstheme="minorHAnsi"/>
        </w:rPr>
        <w:t xml:space="preserve">the </w:t>
      </w:r>
      <w:r w:rsidR="00460553">
        <w:rPr>
          <w:rFonts w:cstheme="minorHAnsi"/>
        </w:rPr>
        <w:t xml:space="preserve">Ministry of National Health Services, Regulations and Coordination (MNHSR&amp;C) </w:t>
      </w:r>
      <w:r w:rsidR="00E453F2">
        <w:rPr>
          <w:rFonts w:cstheme="minorHAnsi"/>
        </w:rPr>
        <w:t xml:space="preserve">in </w:t>
      </w:r>
      <w:r w:rsidRPr="00340573">
        <w:rPr>
          <w:rFonts w:cstheme="minorHAnsi"/>
        </w:rPr>
        <w:t>Islamabad</w:t>
      </w:r>
      <w:r>
        <w:rPr>
          <w:rFonts w:cstheme="minorHAnsi"/>
        </w:rPr>
        <w:t>, Pakistan</w:t>
      </w:r>
      <w:r w:rsidR="00E175DA" w:rsidRPr="00340573">
        <w:rPr>
          <w:rFonts w:cstheme="minorHAnsi"/>
        </w:rPr>
        <w:t>.</w:t>
      </w:r>
    </w:p>
    <w:sectPr w:rsidR="00DD12DB" w:rsidRPr="00340573" w:rsidSect="005D31D6">
      <w:footerReference w:type="default" r:id="rId9"/>
      <w:headerReference w:type="first" r:id="rId10"/>
      <w:footerReference w:type="first" r:id="rId11"/>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CC574" w14:textId="77777777" w:rsidR="00BC527A" w:rsidRDefault="00BC527A" w:rsidP="00116345">
      <w:pPr>
        <w:spacing w:after="0" w:line="240" w:lineRule="auto"/>
      </w:pPr>
      <w:r>
        <w:separator/>
      </w:r>
    </w:p>
  </w:endnote>
  <w:endnote w:type="continuationSeparator" w:id="0">
    <w:p w14:paraId="55195D2A" w14:textId="77777777" w:rsidR="00BC527A" w:rsidRDefault="00BC527A"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020D" w14:textId="77777777" w:rsidR="00116345" w:rsidRPr="005D31D6" w:rsidRDefault="00116345" w:rsidP="00835116">
    <w:pPr>
      <w:pStyle w:val="Footer"/>
      <w:tabs>
        <w:tab w:val="clear" w:pos="4513"/>
        <w:tab w:val="clear" w:pos="9026"/>
        <w:tab w:val="right" w:pos="9720"/>
      </w:tabs>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0420C8">
      <w:rPr>
        <w:b/>
        <w:bCs/>
        <w:noProof/>
        <w:color w:val="808080" w:themeColor="background1" w:themeShade="80"/>
        <w:sz w:val="14"/>
        <w:szCs w:val="14"/>
      </w:rPr>
      <w:t>2</w:t>
    </w:r>
    <w:r w:rsidRPr="00116345">
      <w:rPr>
        <w:b/>
        <w:bCs/>
        <w:noProof/>
        <w:color w:val="808080" w:themeColor="background1" w:themeShade="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0B56" w14:textId="77777777" w:rsidR="005D31D6" w:rsidRDefault="005D31D6" w:rsidP="005D31D6">
    <w:pPr>
      <w:pStyle w:val="Footer"/>
      <w:jc w:val="right"/>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0420C8">
      <w:rPr>
        <w:b/>
        <w:bCs/>
        <w:noProof/>
        <w:color w:val="808080" w:themeColor="background1" w:themeShade="80"/>
        <w:sz w:val="14"/>
        <w:szCs w:val="14"/>
      </w:rPr>
      <w:t>1</w:t>
    </w:r>
    <w:r w:rsidRPr="00116345">
      <w:rPr>
        <w:b/>
        <w:bCs/>
        <w:noProof/>
        <w:color w:val="808080" w:themeColor="background1" w:themeShade="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D7997" w14:textId="77777777" w:rsidR="00BC527A" w:rsidRDefault="00BC527A" w:rsidP="00116345">
      <w:pPr>
        <w:spacing w:after="0" w:line="240" w:lineRule="auto"/>
      </w:pPr>
      <w:r>
        <w:separator/>
      </w:r>
    </w:p>
  </w:footnote>
  <w:footnote w:type="continuationSeparator" w:id="0">
    <w:p w14:paraId="40D3DFE1" w14:textId="77777777" w:rsidR="00BC527A" w:rsidRDefault="00BC527A" w:rsidP="0011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EBAA3" w14:textId="7DEE15DD" w:rsidR="005D31D6" w:rsidRDefault="005D31D6" w:rsidP="00D9512E">
    <w:pPr>
      <w:pStyle w:val="Header"/>
      <w:tabs>
        <w:tab w:val="clear" w:pos="4513"/>
        <w:tab w:val="clear" w:pos="9026"/>
        <w:tab w:val="center" w:pos="4860"/>
        <w:tab w:val="right" w:pos="9720"/>
      </w:tabs>
      <w:spacing w:before="240" w:after="100" w:afterAutospacing="1"/>
      <w:jc w:val="center"/>
    </w:pPr>
    <w:r w:rsidRPr="000004D1">
      <w:rPr>
        <w:b/>
        <w:bCs/>
        <w:sz w:val="36"/>
        <w:szCs w:val="36"/>
      </w:rPr>
      <w:t>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146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641CBF"/>
    <w:multiLevelType w:val="hybridMultilevel"/>
    <w:tmpl w:val="F37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C1F6C"/>
    <w:multiLevelType w:val="hybridMultilevel"/>
    <w:tmpl w:val="5ED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E6133"/>
    <w:multiLevelType w:val="hybridMultilevel"/>
    <w:tmpl w:val="77DA784E"/>
    <w:lvl w:ilvl="0" w:tplc="AA842702">
      <w:start w:val="1"/>
      <w:numFmt w:val="bullet"/>
      <w:lvlText w:val=""/>
      <w:lvlJc w:val="left"/>
      <w:pPr>
        <w:ind w:left="360" w:hanging="360"/>
      </w:pPr>
      <w:rPr>
        <w:rFonts w:ascii="Wingdings" w:hAnsi="Wingdings" w:hint="default"/>
        <w:color w:val="0070C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FD4C98"/>
    <w:multiLevelType w:val="hybridMultilevel"/>
    <w:tmpl w:val="3BCC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F728B"/>
    <w:multiLevelType w:val="hybridMultilevel"/>
    <w:tmpl w:val="0D10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C15B1"/>
    <w:multiLevelType w:val="hybridMultilevel"/>
    <w:tmpl w:val="A69C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A0BE1"/>
    <w:multiLevelType w:val="hybridMultilevel"/>
    <w:tmpl w:val="B7E42A8A"/>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nsid w:val="72CD690D"/>
    <w:multiLevelType w:val="hybridMultilevel"/>
    <w:tmpl w:val="7EC8535E"/>
    <w:lvl w:ilvl="0" w:tplc="10BC7A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A02B8"/>
    <w:multiLevelType w:val="hybridMultilevel"/>
    <w:tmpl w:val="E41E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EA5B3B"/>
    <w:multiLevelType w:val="hybridMultilevel"/>
    <w:tmpl w:val="6C5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6"/>
  </w:num>
  <w:num w:numId="6">
    <w:abstractNumId w:val="9"/>
  </w:num>
  <w:num w:numId="7">
    <w:abstractNumId w:val="2"/>
  </w:num>
  <w:num w:numId="8">
    <w:abstractNumId w:val="3"/>
  </w:num>
  <w:num w:numId="9">
    <w:abstractNumId w:val="10"/>
  </w:num>
  <w:num w:numId="10">
    <w:abstractNumId w:val="7"/>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1"/>
    <w:rsid w:val="000004D1"/>
    <w:rsid w:val="00016CBB"/>
    <w:rsid w:val="000242C5"/>
    <w:rsid w:val="0003482E"/>
    <w:rsid w:val="000420C8"/>
    <w:rsid w:val="00051998"/>
    <w:rsid w:val="00054B43"/>
    <w:rsid w:val="00063091"/>
    <w:rsid w:val="00063CC7"/>
    <w:rsid w:val="000876E7"/>
    <w:rsid w:val="000A4BAD"/>
    <w:rsid w:val="000C25C9"/>
    <w:rsid w:val="000D21E4"/>
    <w:rsid w:val="000F4FC7"/>
    <w:rsid w:val="00104D3F"/>
    <w:rsid w:val="0011272B"/>
    <w:rsid w:val="00113A60"/>
    <w:rsid w:val="00116345"/>
    <w:rsid w:val="00116A84"/>
    <w:rsid w:val="0013788A"/>
    <w:rsid w:val="00137A51"/>
    <w:rsid w:val="001613A7"/>
    <w:rsid w:val="00165872"/>
    <w:rsid w:val="00171737"/>
    <w:rsid w:val="001718A2"/>
    <w:rsid w:val="0018609F"/>
    <w:rsid w:val="00195D6E"/>
    <w:rsid w:val="001B0DA6"/>
    <w:rsid w:val="001B4D9E"/>
    <w:rsid w:val="001C6DCD"/>
    <w:rsid w:val="001E471D"/>
    <w:rsid w:val="00206406"/>
    <w:rsid w:val="00223DAB"/>
    <w:rsid w:val="00243CBF"/>
    <w:rsid w:val="002602A8"/>
    <w:rsid w:val="00273D49"/>
    <w:rsid w:val="00290FA0"/>
    <w:rsid w:val="00295727"/>
    <w:rsid w:val="002C2E13"/>
    <w:rsid w:val="002C76E9"/>
    <w:rsid w:val="002D7489"/>
    <w:rsid w:val="002F2815"/>
    <w:rsid w:val="00316817"/>
    <w:rsid w:val="003330C1"/>
    <w:rsid w:val="00340573"/>
    <w:rsid w:val="003477FA"/>
    <w:rsid w:val="00351645"/>
    <w:rsid w:val="00360FB3"/>
    <w:rsid w:val="003664DE"/>
    <w:rsid w:val="003A097D"/>
    <w:rsid w:val="003A36F5"/>
    <w:rsid w:val="003C561F"/>
    <w:rsid w:val="003D3F3F"/>
    <w:rsid w:val="003D5033"/>
    <w:rsid w:val="003D5941"/>
    <w:rsid w:val="00406D48"/>
    <w:rsid w:val="00415B6E"/>
    <w:rsid w:val="004322B1"/>
    <w:rsid w:val="00460553"/>
    <w:rsid w:val="004613DE"/>
    <w:rsid w:val="00462A39"/>
    <w:rsid w:val="004634A5"/>
    <w:rsid w:val="004719F2"/>
    <w:rsid w:val="00490F9A"/>
    <w:rsid w:val="004B7773"/>
    <w:rsid w:val="004D2F0F"/>
    <w:rsid w:val="004E2317"/>
    <w:rsid w:val="00513A9E"/>
    <w:rsid w:val="00544172"/>
    <w:rsid w:val="00555867"/>
    <w:rsid w:val="005565BD"/>
    <w:rsid w:val="00562D5A"/>
    <w:rsid w:val="00563C61"/>
    <w:rsid w:val="005678DA"/>
    <w:rsid w:val="00572469"/>
    <w:rsid w:val="00573C56"/>
    <w:rsid w:val="005858D8"/>
    <w:rsid w:val="005876B6"/>
    <w:rsid w:val="0059157B"/>
    <w:rsid w:val="005C7807"/>
    <w:rsid w:val="005D31D6"/>
    <w:rsid w:val="005E3A88"/>
    <w:rsid w:val="005E4041"/>
    <w:rsid w:val="00643A24"/>
    <w:rsid w:val="006474F4"/>
    <w:rsid w:val="00656812"/>
    <w:rsid w:val="00662C65"/>
    <w:rsid w:val="0068317E"/>
    <w:rsid w:val="0068484C"/>
    <w:rsid w:val="006933B0"/>
    <w:rsid w:val="00695744"/>
    <w:rsid w:val="0069632A"/>
    <w:rsid w:val="006A347F"/>
    <w:rsid w:val="006A7365"/>
    <w:rsid w:val="006E5A33"/>
    <w:rsid w:val="006F7521"/>
    <w:rsid w:val="00703196"/>
    <w:rsid w:val="00713FF4"/>
    <w:rsid w:val="00732BAB"/>
    <w:rsid w:val="0073641A"/>
    <w:rsid w:val="0074348C"/>
    <w:rsid w:val="00750148"/>
    <w:rsid w:val="0075440A"/>
    <w:rsid w:val="00767FCB"/>
    <w:rsid w:val="00775AE7"/>
    <w:rsid w:val="0078046D"/>
    <w:rsid w:val="00783846"/>
    <w:rsid w:val="00787960"/>
    <w:rsid w:val="00795912"/>
    <w:rsid w:val="007A21A2"/>
    <w:rsid w:val="007A2E21"/>
    <w:rsid w:val="007A3D0F"/>
    <w:rsid w:val="00805A6B"/>
    <w:rsid w:val="00806C53"/>
    <w:rsid w:val="00806EF7"/>
    <w:rsid w:val="008230B7"/>
    <w:rsid w:val="00835116"/>
    <w:rsid w:val="00837EA8"/>
    <w:rsid w:val="0085166C"/>
    <w:rsid w:val="00863378"/>
    <w:rsid w:val="00872851"/>
    <w:rsid w:val="00880ADC"/>
    <w:rsid w:val="008878B7"/>
    <w:rsid w:val="008A0451"/>
    <w:rsid w:val="008B6A14"/>
    <w:rsid w:val="008C7341"/>
    <w:rsid w:val="008E556A"/>
    <w:rsid w:val="008E658D"/>
    <w:rsid w:val="008F2B33"/>
    <w:rsid w:val="008F54F3"/>
    <w:rsid w:val="008F6420"/>
    <w:rsid w:val="00907A42"/>
    <w:rsid w:val="009153BD"/>
    <w:rsid w:val="00920A00"/>
    <w:rsid w:val="00931115"/>
    <w:rsid w:val="00933AF3"/>
    <w:rsid w:val="009439E6"/>
    <w:rsid w:val="00953B0C"/>
    <w:rsid w:val="00976EC2"/>
    <w:rsid w:val="0099220C"/>
    <w:rsid w:val="009C1606"/>
    <w:rsid w:val="009C29E9"/>
    <w:rsid w:val="009C351C"/>
    <w:rsid w:val="009E5FD1"/>
    <w:rsid w:val="00A2330F"/>
    <w:rsid w:val="00A27EE9"/>
    <w:rsid w:val="00A41A8E"/>
    <w:rsid w:val="00A4419F"/>
    <w:rsid w:val="00A445D2"/>
    <w:rsid w:val="00A6075E"/>
    <w:rsid w:val="00A61742"/>
    <w:rsid w:val="00A62E36"/>
    <w:rsid w:val="00A67472"/>
    <w:rsid w:val="00A67D54"/>
    <w:rsid w:val="00A76E65"/>
    <w:rsid w:val="00A77A87"/>
    <w:rsid w:val="00A80509"/>
    <w:rsid w:val="00A82F38"/>
    <w:rsid w:val="00A84334"/>
    <w:rsid w:val="00A93841"/>
    <w:rsid w:val="00A94C7A"/>
    <w:rsid w:val="00AB074B"/>
    <w:rsid w:val="00AC4C95"/>
    <w:rsid w:val="00AC647F"/>
    <w:rsid w:val="00AD3940"/>
    <w:rsid w:val="00AF20FC"/>
    <w:rsid w:val="00B131C1"/>
    <w:rsid w:val="00B2506B"/>
    <w:rsid w:val="00B54C60"/>
    <w:rsid w:val="00B62B08"/>
    <w:rsid w:val="00B75957"/>
    <w:rsid w:val="00B96F32"/>
    <w:rsid w:val="00BB23F0"/>
    <w:rsid w:val="00BC527A"/>
    <w:rsid w:val="00BD3644"/>
    <w:rsid w:val="00BE2C1B"/>
    <w:rsid w:val="00BE7A49"/>
    <w:rsid w:val="00BF1020"/>
    <w:rsid w:val="00BF1F14"/>
    <w:rsid w:val="00BF71AE"/>
    <w:rsid w:val="00C04917"/>
    <w:rsid w:val="00C05E37"/>
    <w:rsid w:val="00C31D3E"/>
    <w:rsid w:val="00C44572"/>
    <w:rsid w:val="00C51CB7"/>
    <w:rsid w:val="00C54A75"/>
    <w:rsid w:val="00C569D5"/>
    <w:rsid w:val="00C61D41"/>
    <w:rsid w:val="00C92D75"/>
    <w:rsid w:val="00CE1351"/>
    <w:rsid w:val="00CF23A8"/>
    <w:rsid w:val="00D043D0"/>
    <w:rsid w:val="00D16EF3"/>
    <w:rsid w:val="00D421A1"/>
    <w:rsid w:val="00D51A2F"/>
    <w:rsid w:val="00D54062"/>
    <w:rsid w:val="00D92681"/>
    <w:rsid w:val="00D93E10"/>
    <w:rsid w:val="00D9512E"/>
    <w:rsid w:val="00DA223F"/>
    <w:rsid w:val="00DA7176"/>
    <w:rsid w:val="00DB2374"/>
    <w:rsid w:val="00DC5FEB"/>
    <w:rsid w:val="00DD12DB"/>
    <w:rsid w:val="00DE39F9"/>
    <w:rsid w:val="00DF2061"/>
    <w:rsid w:val="00E175DA"/>
    <w:rsid w:val="00E366E5"/>
    <w:rsid w:val="00E453F2"/>
    <w:rsid w:val="00E513D7"/>
    <w:rsid w:val="00E656E5"/>
    <w:rsid w:val="00E658C1"/>
    <w:rsid w:val="00E67912"/>
    <w:rsid w:val="00E72B22"/>
    <w:rsid w:val="00E819FA"/>
    <w:rsid w:val="00E834D3"/>
    <w:rsid w:val="00E851E8"/>
    <w:rsid w:val="00E97E47"/>
    <w:rsid w:val="00EA5321"/>
    <w:rsid w:val="00EA71DA"/>
    <w:rsid w:val="00EC7B40"/>
    <w:rsid w:val="00ED4679"/>
    <w:rsid w:val="00ED6B0B"/>
    <w:rsid w:val="00EE271F"/>
    <w:rsid w:val="00F00658"/>
    <w:rsid w:val="00F27E34"/>
    <w:rsid w:val="00F328C9"/>
    <w:rsid w:val="00F776C0"/>
    <w:rsid w:val="00F848F3"/>
    <w:rsid w:val="00F901CF"/>
    <w:rsid w:val="00FA241D"/>
    <w:rsid w:val="00FA4009"/>
    <w:rsid w:val="00FC37FD"/>
    <w:rsid w:val="00FC6A1B"/>
    <w:rsid w:val="00FE0E66"/>
    <w:rsid w:val="00FF1AF5"/>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3B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5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styleId="CommentReference">
    <w:name w:val="annotation reference"/>
    <w:basedOn w:val="DefaultParagraphFont"/>
    <w:uiPriority w:val="99"/>
    <w:semiHidden/>
    <w:unhideWhenUsed/>
    <w:rsid w:val="00E834D3"/>
    <w:rPr>
      <w:sz w:val="16"/>
      <w:szCs w:val="16"/>
    </w:rPr>
  </w:style>
  <w:style w:type="paragraph" w:styleId="CommentText">
    <w:name w:val="annotation text"/>
    <w:basedOn w:val="Normal"/>
    <w:link w:val="CommentTextChar"/>
    <w:uiPriority w:val="99"/>
    <w:semiHidden/>
    <w:unhideWhenUsed/>
    <w:rsid w:val="00E834D3"/>
    <w:pPr>
      <w:spacing w:line="240" w:lineRule="auto"/>
    </w:pPr>
    <w:rPr>
      <w:sz w:val="20"/>
      <w:szCs w:val="20"/>
    </w:rPr>
  </w:style>
  <w:style w:type="character" w:customStyle="1" w:styleId="CommentTextChar">
    <w:name w:val="Comment Text Char"/>
    <w:basedOn w:val="DefaultParagraphFont"/>
    <w:link w:val="CommentText"/>
    <w:uiPriority w:val="99"/>
    <w:semiHidden/>
    <w:rsid w:val="00E834D3"/>
    <w:rPr>
      <w:sz w:val="20"/>
      <w:szCs w:val="20"/>
    </w:rPr>
  </w:style>
  <w:style w:type="paragraph" w:styleId="CommentSubject">
    <w:name w:val="annotation subject"/>
    <w:basedOn w:val="CommentText"/>
    <w:next w:val="CommentText"/>
    <w:link w:val="CommentSubjectChar"/>
    <w:uiPriority w:val="99"/>
    <w:semiHidden/>
    <w:unhideWhenUsed/>
    <w:rsid w:val="00E834D3"/>
    <w:rPr>
      <w:b/>
      <w:bCs/>
    </w:rPr>
  </w:style>
  <w:style w:type="character" w:customStyle="1" w:styleId="CommentSubjectChar">
    <w:name w:val="Comment Subject Char"/>
    <w:basedOn w:val="CommentTextChar"/>
    <w:link w:val="CommentSubject"/>
    <w:uiPriority w:val="99"/>
    <w:semiHidden/>
    <w:rsid w:val="00E834D3"/>
    <w:rPr>
      <w:b/>
      <w:bCs/>
      <w:sz w:val="20"/>
      <w:szCs w:val="20"/>
    </w:rPr>
  </w:style>
  <w:style w:type="paragraph" w:styleId="NoSpacing">
    <w:name w:val="No Spacing"/>
    <w:uiPriority w:val="1"/>
    <w:qFormat/>
    <w:rsid w:val="005678DA"/>
    <w:pPr>
      <w:spacing w:after="0" w:line="240" w:lineRule="auto"/>
    </w:pPr>
  </w:style>
  <w:style w:type="character" w:customStyle="1" w:styleId="Heading1Char">
    <w:name w:val="Heading 1 Char"/>
    <w:basedOn w:val="DefaultParagraphFont"/>
    <w:link w:val="Heading1"/>
    <w:uiPriority w:val="9"/>
    <w:rsid w:val="00953B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3B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5872"/>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A77A87"/>
    <w:pPr>
      <w:numPr>
        <w:numId w:val="3"/>
      </w:numPr>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97E47"/>
  </w:style>
  <w:style w:type="character" w:customStyle="1" w:styleId="UnresolvedMention">
    <w:name w:val="Unresolved Mention"/>
    <w:basedOn w:val="DefaultParagraphFont"/>
    <w:uiPriority w:val="99"/>
    <w:semiHidden/>
    <w:unhideWhenUsed/>
    <w:rsid w:val="006A34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3B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5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styleId="CommentReference">
    <w:name w:val="annotation reference"/>
    <w:basedOn w:val="DefaultParagraphFont"/>
    <w:uiPriority w:val="99"/>
    <w:semiHidden/>
    <w:unhideWhenUsed/>
    <w:rsid w:val="00E834D3"/>
    <w:rPr>
      <w:sz w:val="16"/>
      <w:szCs w:val="16"/>
    </w:rPr>
  </w:style>
  <w:style w:type="paragraph" w:styleId="CommentText">
    <w:name w:val="annotation text"/>
    <w:basedOn w:val="Normal"/>
    <w:link w:val="CommentTextChar"/>
    <w:uiPriority w:val="99"/>
    <w:semiHidden/>
    <w:unhideWhenUsed/>
    <w:rsid w:val="00E834D3"/>
    <w:pPr>
      <w:spacing w:line="240" w:lineRule="auto"/>
    </w:pPr>
    <w:rPr>
      <w:sz w:val="20"/>
      <w:szCs w:val="20"/>
    </w:rPr>
  </w:style>
  <w:style w:type="character" w:customStyle="1" w:styleId="CommentTextChar">
    <w:name w:val="Comment Text Char"/>
    <w:basedOn w:val="DefaultParagraphFont"/>
    <w:link w:val="CommentText"/>
    <w:uiPriority w:val="99"/>
    <w:semiHidden/>
    <w:rsid w:val="00E834D3"/>
    <w:rPr>
      <w:sz w:val="20"/>
      <w:szCs w:val="20"/>
    </w:rPr>
  </w:style>
  <w:style w:type="paragraph" w:styleId="CommentSubject">
    <w:name w:val="annotation subject"/>
    <w:basedOn w:val="CommentText"/>
    <w:next w:val="CommentText"/>
    <w:link w:val="CommentSubjectChar"/>
    <w:uiPriority w:val="99"/>
    <w:semiHidden/>
    <w:unhideWhenUsed/>
    <w:rsid w:val="00E834D3"/>
    <w:rPr>
      <w:b/>
      <w:bCs/>
    </w:rPr>
  </w:style>
  <w:style w:type="character" w:customStyle="1" w:styleId="CommentSubjectChar">
    <w:name w:val="Comment Subject Char"/>
    <w:basedOn w:val="CommentTextChar"/>
    <w:link w:val="CommentSubject"/>
    <w:uiPriority w:val="99"/>
    <w:semiHidden/>
    <w:rsid w:val="00E834D3"/>
    <w:rPr>
      <w:b/>
      <w:bCs/>
      <w:sz w:val="20"/>
      <w:szCs w:val="20"/>
    </w:rPr>
  </w:style>
  <w:style w:type="paragraph" w:styleId="NoSpacing">
    <w:name w:val="No Spacing"/>
    <w:uiPriority w:val="1"/>
    <w:qFormat/>
    <w:rsid w:val="005678DA"/>
    <w:pPr>
      <w:spacing w:after="0" w:line="240" w:lineRule="auto"/>
    </w:pPr>
  </w:style>
  <w:style w:type="character" w:customStyle="1" w:styleId="Heading1Char">
    <w:name w:val="Heading 1 Char"/>
    <w:basedOn w:val="DefaultParagraphFont"/>
    <w:link w:val="Heading1"/>
    <w:uiPriority w:val="9"/>
    <w:rsid w:val="00953B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3B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5872"/>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A77A87"/>
    <w:pPr>
      <w:numPr>
        <w:numId w:val="3"/>
      </w:numPr>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97E47"/>
  </w:style>
  <w:style w:type="character" w:customStyle="1" w:styleId="UnresolvedMention">
    <w:name w:val="Unresolved Mention"/>
    <w:basedOn w:val="DefaultParagraphFont"/>
    <w:uiPriority w:val="99"/>
    <w:semiHidden/>
    <w:unhideWhenUsed/>
    <w:rsid w:val="006A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1323-35F0-44CA-BE2C-122523B9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ZS</cp:lastModifiedBy>
  <cp:revision>2</cp:revision>
  <cp:lastPrinted>2017-02-21T07:46:00Z</cp:lastPrinted>
  <dcterms:created xsi:type="dcterms:W3CDTF">2023-07-17T13:02:00Z</dcterms:created>
  <dcterms:modified xsi:type="dcterms:W3CDTF">2023-07-17T13:02:00Z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17be88404400f30ed56dd0fdd1bdc60061f50807e6cb5b40eb62d2ecddf79322</vt:lpwstr>
  </property>
</Properties>
</file>